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75A60CEF" w:rsidR="001E0E46" w:rsidRPr="009F3E29" w:rsidRDefault="001E0E46" w:rsidP="001E0E46">
      <w:pPr>
        <w:pStyle w:val="CRCoverPage"/>
        <w:tabs>
          <w:tab w:val="left" w:pos="1980"/>
        </w:tabs>
        <w:rPr>
          <w:rFonts w:ascii="Times New Roman" w:eastAsia="SimSun" w:hAnsi="Times New Roman"/>
          <w:b/>
          <w:sz w:val="24"/>
          <w:lang w:val="en-US" w:eastAsia="zh-CN"/>
        </w:rPr>
      </w:pPr>
      <w:r w:rsidRPr="009F3E29">
        <w:rPr>
          <w:rFonts w:ascii="Times New Roman" w:eastAsia="SimSun" w:hAnsi="Times New Roman"/>
          <w:b/>
          <w:sz w:val="24"/>
          <w:lang w:val="en-US" w:eastAsia="zh-CN"/>
        </w:rPr>
        <w:t>3GPP TSG RAN WG1 Meeting #92bis</w:t>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t xml:space="preserve">    </w:t>
      </w:r>
      <w:r w:rsidR="00534492" w:rsidRPr="00534492">
        <w:rPr>
          <w:rFonts w:ascii="Times New Roman" w:eastAsia="SimSun" w:hAnsi="Times New Roman"/>
          <w:b/>
          <w:sz w:val="24"/>
          <w:lang w:val="en-US" w:eastAsia="zh-CN"/>
        </w:rPr>
        <w:t>R1-1804858</w:t>
      </w:r>
    </w:p>
    <w:p w14:paraId="26F9CCC6" w14:textId="5552B901" w:rsidR="001375CD" w:rsidRPr="009F3E29" w:rsidRDefault="001E0E46" w:rsidP="001E0E46">
      <w:pPr>
        <w:pStyle w:val="CRCoverPage"/>
        <w:tabs>
          <w:tab w:val="left" w:pos="1980"/>
        </w:tabs>
        <w:jc w:val="both"/>
        <w:rPr>
          <w:rFonts w:ascii="Times New Roman" w:hAnsi="Times New Roman"/>
          <w:b/>
          <w:bCs/>
          <w:sz w:val="24"/>
          <w:lang w:val="en-US"/>
        </w:rPr>
      </w:pPr>
      <w:proofErr w:type="spellStart"/>
      <w:r w:rsidRPr="009F3E29">
        <w:rPr>
          <w:rFonts w:ascii="Times New Roman" w:eastAsia="SimSun" w:hAnsi="Times New Roman"/>
          <w:b/>
          <w:sz w:val="24"/>
          <w:lang w:val="en-US" w:eastAsia="zh-CN"/>
        </w:rPr>
        <w:t>Sanya</w:t>
      </w:r>
      <w:proofErr w:type="spellEnd"/>
      <w:r w:rsidRPr="009F3E29">
        <w:rPr>
          <w:rFonts w:ascii="Times New Roman" w:eastAsia="SimSun" w:hAnsi="Times New Roman"/>
          <w:b/>
          <w:sz w:val="24"/>
          <w:lang w:val="en-US" w:eastAsia="zh-CN"/>
        </w:rPr>
        <w:t>, China, April 16</w:t>
      </w:r>
      <w:r w:rsidR="00F151AF" w:rsidRPr="009F3E29">
        <w:rPr>
          <w:rFonts w:ascii="Times New Roman" w:eastAsia="SimSun" w:hAnsi="Times New Roman"/>
          <w:b/>
          <w:sz w:val="24"/>
          <w:vertAlign w:val="superscript"/>
          <w:lang w:val="en-US" w:eastAsia="zh-CN"/>
        </w:rPr>
        <w:t>th</w:t>
      </w:r>
      <w:r w:rsidR="00F151AF" w:rsidRPr="009F3E29">
        <w:rPr>
          <w:rFonts w:ascii="Times New Roman" w:eastAsia="SimSun" w:hAnsi="Times New Roman"/>
          <w:b/>
          <w:sz w:val="24"/>
          <w:lang w:val="en-US" w:eastAsia="zh-CN"/>
        </w:rPr>
        <w:t xml:space="preserve"> </w:t>
      </w:r>
      <w:r w:rsidRPr="009F3E29">
        <w:rPr>
          <w:rFonts w:ascii="Times New Roman" w:eastAsia="SimSun" w:hAnsi="Times New Roman"/>
          <w:b/>
          <w:sz w:val="24"/>
          <w:lang w:val="en-US" w:eastAsia="zh-CN"/>
        </w:rPr>
        <w:t>– 20</w:t>
      </w:r>
      <w:r w:rsidR="00F151AF" w:rsidRPr="009F3E29">
        <w:rPr>
          <w:rFonts w:ascii="Times New Roman" w:eastAsia="SimSun" w:hAnsi="Times New Roman"/>
          <w:b/>
          <w:sz w:val="24"/>
          <w:vertAlign w:val="superscript"/>
          <w:lang w:val="en-US" w:eastAsia="zh-CN"/>
        </w:rPr>
        <w:t>th</w:t>
      </w:r>
      <w:r w:rsidRPr="009F3E29">
        <w:rPr>
          <w:rFonts w:ascii="Times New Roman" w:eastAsia="SimSun" w:hAnsi="Times New Roman"/>
          <w:b/>
          <w:sz w:val="24"/>
          <w:lang w:val="en-US" w:eastAsia="zh-CN"/>
        </w:rPr>
        <w:t>, 2018</w:t>
      </w:r>
    </w:p>
    <w:p w14:paraId="2ED28A93" w14:textId="77777777" w:rsidR="001E0E46" w:rsidRPr="009F3E29" w:rsidRDefault="001E0E46" w:rsidP="00FC6469">
      <w:pPr>
        <w:pStyle w:val="CRCoverPage"/>
        <w:tabs>
          <w:tab w:val="left" w:pos="1980"/>
        </w:tabs>
        <w:jc w:val="both"/>
        <w:rPr>
          <w:rFonts w:ascii="Times New Roman" w:hAnsi="Times New Roman"/>
          <w:b/>
          <w:bCs/>
          <w:sz w:val="24"/>
          <w:lang w:val="en-US"/>
        </w:rPr>
      </w:pPr>
    </w:p>
    <w:p w14:paraId="6FA141D4" w14:textId="39C02047" w:rsidR="00FA20F7" w:rsidRPr="009F3E29" w:rsidRDefault="00FA20F7" w:rsidP="00FC6469">
      <w:pPr>
        <w:pStyle w:val="CRCoverPage"/>
        <w:tabs>
          <w:tab w:val="left" w:pos="1980"/>
        </w:tabs>
        <w:jc w:val="both"/>
        <w:rPr>
          <w:rFonts w:ascii="Times New Roman" w:hAnsi="Times New Roman"/>
          <w:b/>
          <w:bCs/>
          <w:sz w:val="24"/>
          <w:lang w:val="en-US" w:eastAsia="ja-JP"/>
        </w:rPr>
      </w:pPr>
      <w:r w:rsidRPr="009F3E29">
        <w:rPr>
          <w:rFonts w:ascii="Times New Roman" w:hAnsi="Times New Roman"/>
          <w:b/>
          <w:bCs/>
          <w:sz w:val="24"/>
          <w:lang w:val="en-US"/>
        </w:rPr>
        <w:t>Agenda Item:</w:t>
      </w:r>
      <w:r w:rsidRPr="009F3E29">
        <w:rPr>
          <w:rFonts w:ascii="Times New Roman" w:hAnsi="Times New Roman"/>
          <w:b/>
          <w:bCs/>
          <w:sz w:val="24"/>
          <w:lang w:val="en-US"/>
        </w:rPr>
        <w:tab/>
      </w:r>
      <w:r w:rsidR="001375CD" w:rsidRPr="009F3E29">
        <w:rPr>
          <w:rFonts w:ascii="Times New Roman" w:hAnsi="Times New Roman"/>
          <w:b/>
          <w:bCs/>
          <w:sz w:val="24"/>
          <w:lang w:val="en-US"/>
        </w:rPr>
        <w:t>7</w:t>
      </w:r>
      <w:r w:rsidR="00E246F8" w:rsidRPr="009F3E29">
        <w:rPr>
          <w:rFonts w:ascii="Times New Roman" w:hAnsi="Times New Roman"/>
          <w:b/>
          <w:bCs/>
          <w:sz w:val="24"/>
          <w:lang w:val="en-US"/>
        </w:rPr>
        <w:t>.</w:t>
      </w:r>
      <w:r w:rsidR="004C009C" w:rsidRPr="009F3E29">
        <w:rPr>
          <w:rFonts w:ascii="Times New Roman" w:hAnsi="Times New Roman"/>
          <w:b/>
          <w:bCs/>
          <w:sz w:val="24"/>
          <w:lang w:val="en-US"/>
        </w:rPr>
        <w:t>3</w:t>
      </w:r>
      <w:r w:rsidR="005D69BE" w:rsidRPr="009F3E29">
        <w:rPr>
          <w:rFonts w:ascii="Times New Roman" w:hAnsi="Times New Roman"/>
          <w:b/>
          <w:bCs/>
          <w:sz w:val="24"/>
          <w:lang w:val="en-US"/>
        </w:rPr>
        <w:t>.</w:t>
      </w:r>
      <w:r w:rsidR="004C009C" w:rsidRPr="009F3E29">
        <w:rPr>
          <w:rFonts w:ascii="Times New Roman" w:hAnsi="Times New Roman"/>
          <w:b/>
          <w:bCs/>
          <w:sz w:val="24"/>
          <w:lang w:val="en-US"/>
        </w:rPr>
        <w:t>2</w:t>
      </w:r>
    </w:p>
    <w:p w14:paraId="186753AF" w14:textId="31CFFC5C" w:rsidR="00FA20F7" w:rsidRPr="009F3E29" w:rsidRDefault="0092027E" w:rsidP="00FA20F7">
      <w:pPr>
        <w:tabs>
          <w:tab w:val="left" w:pos="1985"/>
        </w:tabs>
        <w:rPr>
          <w:b/>
          <w:bCs/>
          <w:sz w:val="24"/>
          <w:lang w:val="en-US"/>
        </w:rPr>
      </w:pPr>
      <w:r w:rsidRPr="009F3E29">
        <w:rPr>
          <w:b/>
          <w:bCs/>
          <w:sz w:val="24"/>
          <w:lang w:val="en-US"/>
        </w:rPr>
        <w:t>Source:</w:t>
      </w:r>
      <w:r w:rsidRPr="009F3E29">
        <w:rPr>
          <w:b/>
          <w:bCs/>
          <w:sz w:val="24"/>
          <w:lang w:val="en-US"/>
        </w:rPr>
        <w:tab/>
        <w:t>InterDigital</w:t>
      </w:r>
      <w:r w:rsidR="00E17A3B" w:rsidRPr="009F3E29">
        <w:rPr>
          <w:b/>
          <w:bCs/>
          <w:sz w:val="24"/>
          <w:lang w:val="en-US"/>
        </w:rPr>
        <w:t xml:space="preserve"> </w:t>
      </w:r>
      <w:r w:rsidR="001E0E46" w:rsidRPr="009F3E29">
        <w:rPr>
          <w:b/>
          <w:bCs/>
          <w:sz w:val="24"/>
          <w:lang w:val="en-US"/>
        </w:rPr>
        <w:t>Inc.</w:t>
      </w:r>
      <w:r w:rsidR="00534492">
        <w:rPr>
          <w:b/>
          <w:bCs/>
          <w:sz w:val="24"/>
          <w:lang w:val="en-US"/>
        </w:rPr>
        <w:t xml:space="preserve">, </w:t>
      </w:r>
      <w:r w:rsidR="003E0C2B" w:rsidRPr="009F3E29">
        <w:rPr>
          <w:b/>
          <w:bCs/>
          <w:sz w:val="24"/>
          <w:lang w:val="en-US"/>
        </w:rPr>
        <w:t>Thales</w:t>
      </w:r>
    </w:p>
    <w:p w14:paraId="4F02292E" w14:textId="3AAAC911" w:rsidR="00FA20F7" w:rsidRPr="009F3E29" w:rsidRDefault="00FA20F7" w:rsidP="00FA20F7">
      <w:pPr>
        <w:ind w:left="1985" w:hanging="1985"/>
        <w:rPr>
          <w:b/>
          <w:bCs/>
          <w:lang w:val="en-US"/>
        </w:rPr>
      </w:pPr>
      <w:r w:rsidRPr="009F3E29">
        <w:rPr>
          <w:b/>
          <w:bCs/>
          <w:sz w:val="24"/>
          <w:lang w:val="en-US"/>
        </w:rPr>
        <w:t>Title:</w:t>
      </w:r>
      <w:r w:rsidRPr="009F3E29">
        <w:rPr>
          <w:b/>
          <w:bCs/>
          <w:sz w:val="24"/>
          <w:lang w:val="en-US"/>
        </w:rPr>
        <w:tab/>
      </w:r>
      <w:r w:rsidR="00BD7837" w:rsidRPr="009F3E29">
        <w:rPr>
          <w:b/>
          <w:bCs/>
          <w:sz w:val="24"/>
          <w:lang w:val="en-US"/>
        </w:rPr>
        <w:t>Considerations on Timing Advance for NTN</w:t>
      </w:r>
    </w:p>
    <w:p w14:paraId="20F2A3ED" w14:textId="19379794" w:rsidR="00FA20F7" w:rsidRPr="009F3E29" w:rsidRDefault="00A51E32" w:rsidP="00FA20F7">
      <w:pPr>
        <w:ind w:left="1985" w:hanging="1985"/>
        <w:rPr>
          <w:b/>
          <w:bCs/>
          <w:sz w:val="24"/>
          <w:lang w:val="en-US"/>
        </w:rPr>
      </w:pPr>
      <w:r w:rsidRPr="009F3E29">
        <w:rPr>
          <w:b/>
          <w:bCs/>
          <w:sz w:val="24"/>
          <w:lang w:val="en-US"/>
        </w:rPr>
        <w:t>Document for:</w:t>
      </w:r>
      <w:r w:rsidRPr="009F3E29">
        <w:rPr>
          <w:b/>
          <w:bCs/>
          <w:sz w:val="24"/>
          <w:lang w:val="en-US"/>
        </w:rPr>
        <w:tab/>
        <w:t>Discussion</w:t>
      </w:r>
      <w:r w:rsidR="00CD15BB" w:rsidRPr="009F3E29">
        <w:rPr>
          <w:b/>
          <w:bCs/>
          <w:sz w:val="24"/>
          <w:lang w:val="en-US"/>
        </w:rPr>
        <w:t xml:space="preserve"> </w:t>
      </w:r>
    </w:p>
    <w:p w14:paraId="45A92109" w14:textId="77777777" w:rsidR="00261A3A" w:rsidRPr="009F3E29" w:rsidRDefault="00A35469" w:rsidP="00C34D28">
      <w:pPr>
        <w:pStyle w:val="Heading1"/>
        <w:rPr>
          <w:rFonts w:ascii="Times New Roman" w:hAnsi="Times New Roman"/>
          <w:b/>
          <w:sz w:val="32"/>
          <w:szCs w:val="32"/>
        </w:rPr>
      </w:pPr>
      <w:r w:rsidRPr="009F3E29">
        <w:rPr>
          <w:rFonts w:ascii="Times New Roman" w:hAnsi="Times New Roman"/>
          <w:b/>
          <w:sz w:val="32"/>
          <w:szCs w:val="32"/>
        </w:rPr>
        <w:t>Introduction</w:t>
      </w:r>
    </w:p>
    <w:p w14:paraId="36694356" w14:textId="55A6632C" w:rsidR="005A08A7" w:rsidRPr="009F3E29" w:rsidRDefault="00D40670" w:rsidP="004E1513">
      <w:pPr>
        <w:rPr>
          <w:szCs w:val="22"/>
        </w:rPr>
      </w:pPr>
      <w:r w:rsidRPr="009F3E29">
        <w:rPr>
          <w:szCs w:val="22"/>
        </w:rPr>
        <w:t xml:space="preserve">A new SI </w:t>
      </w:r>
      <w:r w:rsidR="00B147B3" w:rsidRPr="009F3E29">
        <w:rPr>
          <w:szCs w:val="22"/>
        </w:rPr>
        <w:t xml:space="preserve">on </w:t>
      </w:r>
      <w:r w:rsidR="00DD0B01" w:rsidRPr="009F3E29">
        <w:rPr>
          <w:szCs w:val="22"/>
        </w:rPr>
        <w:t>solution evaluation for NR to support Non-Terrestrial Network</w:t>
      </w:r>
      <w:r w:rsidR="000A5327">
        <w:rPr>
          <w:szCs w:val="22"/>
        </w:rPr>
        <w:t>,</w:t>
      </w:r>
      <w:r w:rsidR="00DD0B01" w:rsidRPr="009F3E29">
        <w:rPr>
          <w:szCs w:val="22"/>
        </w:rPr>
        <w:t xml:space="preserve"> </w:t>
      </w:r>
      <w:r w:rsidR="00B147B3" w:rsidRPr="009F3E29">
        <w:rPr>
          <w:szCs w:val="22"/>
        </w:rPr>
        <w:t>NTN</w:t>
      </w:r>
      <w:r w:rsidR="000A5327">
        <w:rPr>
          <w:szCs w:val="22"/>
        </w:rPr>
        <w:t>,</w:t>
      </w:r>
      <w:r w:rsidR="00B147B3" w:rsidRPr="009F3E29">
        <w:rPr>
          <w:szCs w:val="22"/>
        </w:rPr>
        <w:t xml:space="preserve"> was proposed in the RAN plenary meeting </w:t>
      </w:r>
      <w:r w:rsidR="00DD0B01" w:rsidRPr="009F3E29">
        <w:rPr>
          <w:szCs w:val="22"/>
        </w:rPr>
        <w:t>#79</w:t>
      </w:r>
      <w:r w:rsidR="00556C98" w:rsidRPr="009F3E29">
        <w:rPr>
          <w:szCs w:val="22"/>
        </w:rPr>
        <w:t xml:space="preserve"> [1].</w:t>
      </w:r>
      <w:r w:rsidR="00DD0B01" w:rsidRPr="009F3E29">
        <w:rPr>
          <w:szCs w:val="22"/>
        </w:rPr>
        <w:t xml:space="preserve"> </w:t>
      </w:r>
      <w:r w:rsidR="00B147B3" w:rsidRPr="009F3E29">
        <w:rPr>
          <w:szCs w:val="22"/>
        </w:rPr>
        <w:t>One of the objective</w:t>
      </w:r>
      <w:r w:rsidR="006B041A" w:rsidRPr="009F3E29">
        <w:rPr>
          <w:szCs w:val="22"/>
        </w:rPr>
        <w:t>s</w:t>
      </w:r>
      <w:r w:rsidR="00B147B3" w:rsidRPr="009F3E29">
        <w:rPr>
          <w:szCs w:val="22"/>
        </w:rPr>
        <w:t xml:space="preserve"> of this SI </w:t>
      </w:r>
      <w:r w:rsidR="006B041A" w:rsidRPr="009F3E29">
        <w:rPr>
          <w:szCs w:val="22"/>
        </w:rPr>
        <w:t>from</w:t>
      </w:r>
      <w:r w:rsidR="00B147B3" w:rsidRPr="009F3E29">
        <w:rPr>
          <w:szCs w:val="22"/>
        </w:rPr>
        <w:t xml:space="preserve"> </w:t>
      </w:r>
      <w:r w:rsidR="000A5327">
        <w:rPr>
          <w:szCs w:val="22"/>
        </w:rPr>
        <w:t xml:space="preserve">the </w:t>
      </w:r>
      <w:r w:rsidR="00B147B3" w:rsidRPr="009F3E29">
        <w:rPr>
          <w:szCs w:val="22"/>
        </w:rPr>
        <w:t xml:space="preserve">physical layer </w:t>
      </w:r>
      <w:r w:rsidR="006B041A" w:rsidRPr="009F3E29">
        <w:rPr>
          <w:szCs w:val="22"/>
        </w:rPr>
        <w:t xml:space="preserve">perspective </w:t>
      </w:r>
      <w:r w:rsidR="00B147B3" w:rsidRPr="009F3E29">
        <w:rPr>
          <w:szCs w:val="22"/>
        </w:rPr>
        <w:t xml:space="preserve">is to provide </w:t>
      </w:r>
      <w:r w:rsidR="001542C6" w:rsidRPr="009F3E29">
        <w:rPr>
          <w:szCs w:val="22"/>
        </w:rPr>
        <w:t>solutions</w:t>
      </w:r>
      <w:r w:rsidR="00B147B3" w:rsidRPr="009F3E29">
        <w:rPr>
          <w:szCs w:val="22"/>
        </w:rPr>
        <w:t xml:space="preserve"> for Timing Advance. This contribution discusses the impact of timing advance on 5G NR design for Non-Terrestrial Networks </w:t>
      </w:r>
      <w:r w:rsidR="00556C98" w:rsidRPr="009F3E29">
        <w:rPr>
          <w:szCs w:val="22"/>
        </w:rPr>
        <w:fldChar w:fldCharType="begin"/>
      </w:r>
      <w:r w:rsidR="00556C98" w:rsidRPr="009F3E29">
        <w:rPr>
          <w:szCs w:val="22"/>
        </w:rPr>
        <w:instrText xml:space="preserve"> REF _Ref510447863 \r \h </w:instrText>
      </w:r>
      <w:r w:rsidR="009F3E29">
        <w:rPr>
          <w:szCs w:val="22"/>
        </w:rPr>
        <w:instrText xml:space="preserve"> \* MERGEFORMAT </w:instrText>
      </w:r>
      <w:r w:rsidR="00556C98" w:rsidRPr="009F3E29">
        <w:rPr>
          <w:szCs w:val="22"/>
        </w:rPr>
      </w:r>
      <w:r w:rsidR="00556C98" w:rsidRPr="009F3E29">
        <w:rPr>
          <w:szCs w:val="22"/>
        </w:rPr>
        <w:fldChar w:fldCharType="separate"/>
      </w:r>
      <w:r w:rsidR="0042006C" w:rsidRPr="009F3E29">
        <w:rPr>
          <w:szCs w:val="22"/>
        </w:rPr>
        <w:t>[2]</w:t>
      </w:r>
      <w:r w:rsidR="00556C98" w:rsidRPr="009F3E29">
        <w:rPr>
          <w:szCs w:val="22"/>
        </w:rPr>
        <w:fldChar w:fldCharType="end"/>
      </w:r>
      <w:r w:rsidR="00556C98" w:rsidRPr="009F3E29">
        <w:rPr>
          <w:szCs w:val="22"/>
        </w:rPr>
        <w:t>.</w:t>
      </w:r>
    </w:p>
    <w:p w14:paraId="411E7BBD" w14:textId="36F12C00" w:rsidR="00085A01" w:rsidRPr="009F3E29" w:rsidRDefault="00556C98" w:rsidP="00085A01">
      <w:pPr>
        <w:pStyle w:val="Heading1"/>
        <w:pBdr>
          <w:top w:val="single" w:sz="12" w:space="5" w:color="auto"/>
        </w:pBdr>
        <w:spacing w:after="120"/>
        <w:rPr>
          <w:rFonts w:ascii="Times New Roman" w:hAnsi="Times New Roman"/>
          <w:b/>
          <w:sz w:val="32"/>
          <w:szCs w:val="32"/>
          <w:lang w:val="en-US"/>
        </w:rPr>
      </w:pPr>
      <w:r w:rsidRPr="009F3E29">
        <w:rPr>
          <w:rFonts w:ascii="Times New Roman" w:hAnsi="Times New Roman"/>
          <w:b/>
          <w:sz w:val="32"/>
          <w:szCs w:val="32"/>
        </w:rPr>
        <w:t>Background</w:t>
      </w:r>
      <w:r w:rsidR="004555E3" w:rsidRPr="009F3E29">
        <w:rPr>
          <w:rFonts w:ascii="Times New Roman" w:hAnsi="Times New Roman"/>
          <w:b/>
          <w:sz w:val="32"/>
          <w:szCs w:val="32"/>
        </w:rPr>
        <w:t xml:space="preserve"> </w:t>
      </w:r>
    </w:p>
    <w:p w14:paraId="0F115507" w14:textId="58AE007D" w:rsidR="00556C98" w:rsidRPr="009F3E29" w:rsidRDefault="00556C98" w:rsidP="002C1C50">
      <w:pPr>
        <w:spacing w:before="240"/>
      </w:pPr>
      <w:r w:rsidRPr="009F3E29">
        <w:rPr>
          <w:bCs/>
        </w:rPr>
        <w:t>In NR</w:t>
      </w:r>
      <w:r w:rsidR="000A5327">
        <w:rPr>
          <w:bCs/>
        </w:rPr>
        <w:t>,</w:t>
      </w:r>
      <w:r w:rsidR="002C1C50" w:rsidRPr="009F3E29">
        <w:rPr>
          <w:bCs/>
        </w:rPr>
        <w:t xml:space="preserve"> similar to LTE</w:t>
      </w:r>
      <w:r w:rsidRPr="009F3E29">
        <w:rPr>
          <w:bCs/>
        </w:rPr>
        <w:t xml:space="preserve">, during </w:t>
      </w:r>
      <w:r w:rsidR="002C1C50" w:rsidRPr="009F3E29">
        <w:rPr>
          <w:bCs/>
        </w:rPr>
        <w:t xml:space="preserve">the </w:t>
      </w:r>
      <w:r w:rsidRPr="009F3E29">
        <w:rPr>
          <w:bCs/>
        </w:rPr>
        <w:t xml:space="preserve">initial access procedure gNB estimates the initial Timing Advance from Physical </w:t>
      </w:r>
      <w:proofErr w:type="gramStart"/>
      <w:r w:rsidRPr="009F3E29">
        <w:rPr>
          <w:bCs/>
        </w:rPr>
        <w:t>Random Access</w:t>
      </w:r>
      <w:proofErr w:type="gramEnd"/>
      <w:r w:rsidRPr="009F3E29">
        <w:rPr>
          <w:bCs/>
        </w:rPr>
        <w:t xml:space="preserve"> Channel (PRACH) sent by the UE and sends timing advance command in Random Access Response (RAR). Then, the UE adjusts the timing of its uplink transmission based on the information received from gNB. </w:t>
      </w:r>
      <w:r w:rsidR="002C1C50" w:rsidRPr="009F3E29">
        <w:rPr>
          <w:bCs/>
        </w:rPr>
        <w:t xml:space="preserve">According to the specification </w:t>
      </w:r>
      <w:r w:rsidR="002C1C50" w:rsidRPr="009F3E29">
        <w:rPr>
          <w:bCs/>
        </w:rPr>
        <w:fldChar w:fldCharType="begin"/>
      </w:r>
      <w:r w:rsidR="002C1C50" w:rsidRPr="009F3E29">
        <w:rPr>
          <w:bCs/>
        </w:rPr>
        <w:instrText xml:space="preserve"> REF _Ref510447879 \r \h </w:instrText>
      </w:r>
      <w:r w:rsidR="009F3E29">
        <w:rPr>
          <w:bCs/>
        </w:rPr>
        <w:instrText xml:space="preserve"> \* MERGEFORMAT </w:instrText>
      </w:r>
      <w:r w:rsidR="002C1C50" w:rsidRPr="009F3E29">
        <w:rPr>
          <w:bCs/>
        </w:rPr>
      </w:r>
      <w:r w:rsidR="002C1C50" w:rsidRPr="009F3E29">
        <w:rPr>
          <w:bCs/>
        </w:rPr>
        <w:fldChar w:fldCharType="separate"/>
      </w:r>
      <w:r w:rsidR="0042006C" w:rsidRPr="009F3E29">
        <w:rPr>
          <w:bCs/>
        </w:rPr>
        <w:t>[3]</w:t>
      </w:r>
      <w:r w:rsidR="002C1C50" w:rsidRPr="009F3E29">
        <w:rPr>
          <w:bCs/>
        </w:rPr>
        <w:fldChar w:fldCharType="end"/>
      </w:r>
      <w:r w:rsidR="002C1C50" w:rsidRPr="009F3E29">
        <w:rPr>
          <w:bCs/>
        </w:rPr>
        <w:t>, f</w:t>
      </w:r>
      <w:r w:rsidRPr="009F3E29">
        <w:rPr>
          <w:bCs/>
        </w:rPr>
        <w:t xml:space="preserve">or a subcarrier spacing of </w:t>
      </w:r>
      <w:r w:rsidRPr="009F3E29">
        <w:rPr>
          <w:position w:val="-6"/>
        </w:rPr>
        <w:object w:dxaOrig="660" w:dyaOrig="320" w14:anchorId="13C54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2" o:title=""/>
          </v:shape>
          <o:OLEObject Type="Embed" ProgID="Equation.3" ShapeID="_x0000_i1025" DrawAspect="Content" ObjectID="_1584453617" r:id="rId13"/>
        </w:object>
      </w:r>
      <w:r w:rsidRPr="009F3E29">
        <w:rPr>
          <w:bCs/>
        </w:rPr>
        <w:t xml:space="preserve"> kHz, the timing advance command for a Timing Advance Group (TAG) indicates the change of the uplink timing relative to the current uplink timing for the TAG as multiples of </w:t>
      </w:r>
      <w:r w:rsidRPr="009F3E29">
        <w:rPr>
          <w:position w:val="-12"/>
        </w:rPr>
        <w:object w:dxaOrig="1400" w:dyaOrig="380" w14:anchorId="1293A4FA">
          <v:shape id="_x0000_i1026" type="#_x0000_t75" style="width:69.25pt;height:19.7pt" o:ole="">
            <v:imagedata r:id="rId14" o:title=""/>
          </v:shape>
          <o:OLEObject Type="Embed" ProgID="Equation.3" ShapeID="_x0000_i1026" DrawAspect="Content" ObjectID="_1584453618" r:id="rId15"/>
        </w:object>
      </w:r>
      <w:r w:rsidRPr="009F3E29">
        <w:t xml:space="preserve"> where the time unit </w:t>
      </w:r>
      <w:r w:rsidRPr="009F3E29">
        <w:rPr>
          <w:position w:val="-12"/>
        </w:rPr>
        <w:object w:dxaOrig="1719" w:dyaOrig="360" w14:anchorId="452CB574">
          <v:shape id="_x0000_i1027" type="#_x0000_t75" style="width:87.6pt;height:17.9pt" o:ole="">
            <v:imagedata r:id="rId16" o:title=""/>
          </v:shape>
          <o:OLEObject Type="Embed" ProgID="Equation.3" ShapeID="_x0000_i1027" DrawAspect="Content" ObjectID="_1584453619" r:id="rId17"/>
        </w:object>
      </w:r>
      <w:r w:rsidRPr="009F3E29">
        <w:t xml:space="preserve"> with </w:t>
      </w:r>
      <w:r w:rsidRPr="009F3E29">
        <w:rPr>
          <w:position w:val="-12"/>
        </w:rPr>
        <w:object w:dxaOrig="1600" w:dyaOrig="380" w14:anchorId="5F3A0A8A">
          <v:shape id="_x0000_i1028" type="#_x0000_t75" style="width:81.15pt;height:20.2pt" o:ole="">
            <v:imagedata r:id="rId18" o:title=""/>
          </v:shape>
          <o:OLEObject Type="Embed" ProgID="Equation.3" ShapeID="_x0000_i1028" DrawAspect="Content" ObjectID="_1584453620" r:id="rId19"/>
        </w:object>
      </w:r>
      <w:r w:rsidRPr="009F3E29">
        <w:t xml:space="preserve"> Hz and </w:t>
      </w:r>
      <w:r w:rsidRPr="009F3E29">
        <w:rPr>
          <w:position w:val="-10"/>
        </w:rPr>
        <w:object w:dxaOrig="1080" w:dyaOrig="340" w14:anchorId="50B34372">
          <v:shape id="_x0000_i1029" type="#_x0000_t75" style="width:52.3pt;height:17.45pt" o:ole="">
            <v:imagedata r:id="rId20" o:title=""/>
          </v:shape>
          <o:OLEObject Type="Embed" ProgID="Equation.3" ShapeID="_x0000_i1029" DrawAspect="Content" ObjectID="_1584453621" r:id="rId21"/>
        </w:object>
      </w:r>
      <w:r w:rsidRPr="009F3E29">
        <w:t xml:space="preserve"> </w:t>
      </w:r>
      <w:proofErr w:type="spellStart"/>
      <w:r w:rsidRPr="009F3E29">
        <w:t>and</w:t>
      </w:r>
      <w:proofErr w:type="spellEnd"/>
      <w:r w:rsidRPr="009F3E29">
        <w:t xml:space="preserve"> </w:t>
      </w:r>
      <w:r w:rsidRPr="009F3E29">
        <w:rPr>
          <w:position w:val="-10"/>
        </w:rPr>
        <w:object w:dxaOrig="240" w:dyaOrig="260" w14:anchorId="082F5B29">
          <v:shape id="_x0000_i1030" type="#_x0000_t75" style="width:12.85pt;height:14.2pt" o:ole="">
            <v:imagedata r:id="rId22" o:title=""/>
          </v:shape>
          <o:OLEObject Type="Embed" ProgID="Equation.3" ShapeID="_x0000_i1030" DrawAspect="Content" ObjectID="_1584453622" r:id="rId23"/>
        </w:object>
      </w:r>
      <w:r w:rsidRPr="009F3E29">
        <w:t xml:space="preserve">is related to the numerology </w:t>
      </w:r>
      <w:r w:rsidR="00B23708" w:rsidRPr="009F3E29">
        <w:t xml:space="preserve">which is given by </w:t>
      </w:r>
      <w:r w:rsidR="00B23708" w:rsidRPr="009F3E29">
        <w:fldChar w:fldCharType="begin"/>
      </w:r>
      <w:r w:rsidR="00B23708" w:rsidRPr="009F3E29">
        <w:instrText xml:space="preserve"> REF _Ref510448517 \h </w:instrText>
      </w:r>
      <w:r w:rsidR="009F3E29">
        <w:instrText xml:space="preserve"> \* MERGEFORMAT </w:instrText>
      </w:r>
      <w:r w:rsidR="00B23708" w:rsidRPr="009F3E29">
        <w:fldChar w:fldCharType="separate"/>
      </w:r>
      <w:r w:rsidR="00B23708" w:rsidRPr="009F3E29">
        <w:t xml:space="preserve">Table </w:t>
      </w:r>
      <w:r w:rsidR="00B23708" w:rsidRPr="009F3E29">
        <w:rPr>
          <w:noProof/>
        </w:rPr>
        <w:t>1</w:t>
      </w:r>
      <w:r w:rsidR="00B23708" w:rsidRPr="009F3E29">
        <w:fldChar w:fldCharType="end"/>
      </w:r>
      <w:r w:rsidRPr="009F3E29">
        <w:t>.</w:t>
      </w:r>
    </w:p>
    <w:p w14:paraId="3B814462" w14:textId="4C0F772B" w:rsidR="002C1C50" w:rsidRPr="009F3E29" w:rsidRDefault="002C1C50" w:rsidP="002C1C50">
      <w:pPr>
        <w:pStyle w:val="Caption"/>
        <w:keepNext/>
      </w:pPr>
      <w:bookmarkStart w:id="0" w:name="_Ref510448517"/>
      <w:r w:rsidRPr="009F3E29">
        <w:t xml:space="preserve">Table </w:t>
      </w:r>
      <w:r w:rsidRPr="009F3E29">
        <w:fldChar w:fldCharType="begin"/>
      </w:r>
      <w:r w:rsidRPr="009F3E29">
        <w:instrText xml:space="preserve"> SEQ Table \* ARABIC </w:instrText>
      </w:r>
      <w:r w:rsidRPr="009F3E29">
        <w:fldChar w:fldCharType="separate"/>
      </w:r>
      <w:r w:rsidR="0042006C" w:rsidRPr="009F3E29">
        <w:rPr>
          <w:noProof/>
        </w:rPr>
        <w:t>1</w:t>
      </w:r>
      <w:r w:rsidRPr="009F3E29">
        <w:rPr>
          <w:noProof/>
        </w:rPr>
        <w:fldChar w:fldCharType="end"/>
      </w:r>
      <w:bookmarkEnd w:id="0"/>
      <w:r w:rsidRPr="009F3E29">
        <w:t>: Supported transmission numerologies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001"/>
      </w:tblGrid>
      <w:tr w:rsidR="002C1C50" w:rsidRPr="009F3E29" w14:paraId="65E13798" w14:textId="77777777" w:rsidTr="00E16556">
        <w:trPr>
          <w:jc w:val="center"/>
        </w:trPr>
        <w:tc>
          <w:tcPr>
            <w:tcW w:w="1129" w:type="dxa"/>
            <w:shd w:val="clear" w:color="auto" w:fill="auto"/>
            <w:vAlign w:val="center"/>
          </w:tcPr>
          <w:p w14:paraId="69293D70" w14:textId="77777777" w:rsidR="002C1C50" w:rsidRPr="009F3E29" w:rsidRDefault="002C1C50" w:rsidP="00E16556">
            <w:pPr>
              <w:pStyle w:val="TAH"/>
              <w:rPr>
                <w:rFonts w:ascii="Times New Roman" w:eastAsia="Batang" w:hAnsi="Times New Roman"/>
              </w:rPr>
            </w:pPr>
            <w:r w:rsidRPr="009F3E29">
              <w:rPr>
                <w:rFonts w:ascii="Times New Roman" w:eastAsia="Batang" w:hAnsi="Times New Roman"/>
                <w:position w:val="-10"/>
              </w:rPr>
              <w:object w:dxaOrig="240" w:dyaOrig="260" w14:anchorId="3D493B09">
                <v:shape id="_x0000_i1031" type="#_x0000_t75" style="width:12.85pt;height:14.2pt" o:ole="">
                  <v:imagedata r:id="rId24" o:title=""/>
                </v:shape>
                <o:OLEObject Type="Embed" ProgID="Equation.3" ShapeID="_x0000_i1031" DrawAspect="Content" ObjectID="_1584453623" r:id="rId25"/>
              </w:object>
            </w:r>
          </w:p>
        </w:tc>
        <w:tc>
          <w:tcPr>
            <w:tcW w:w="2001" w:type="dxa"/>
            <w:shd w:val="clear" w:color="auto" w:fill="auto"/>
            <w:vAlign w:val="center"/>
          </w:tcPr>
          <w:p w14:paraId="6E26E9B8" w14:textId="77777777" w:rsidR="002C1C50" w:rsidRPr="009F3E29" w:rsidRDefault="002C1C50" w:rsidP="00E16556">
            <w:pPr>
              <w:pStyle w:val="TAH"/>
              <w:rPr>
                <w:rFonts w:ascii="Times New Roman" w:eastAsia="Batang" w:hAnsi="Times New Roman"/>
              </w:rPr>
            </w:pPr>
            <w:r w:rsidRPr="009F3E29">
              <w:rPr>
                <w:rFonts w:ascii="Times New Roman" w:eastAsia="Batang" w:hAnsi="Times New Roman"/>
                <w:position w:val="-10"/>
              </w:rPr>
              <w:object w:dxaOrig="1760" w:dyaOrig="360" w14:anchorId="3D6A8BC8">
                <v:shape id="_x0000_i1032" type="#_x0000_t75" style="width:89.45pt;height:17.9pt" o:ole="">
                  <v:imagedata r:id="rId26" o:title=""/>
                </v:shape>
                <o:OLEObject Type="Embed" ProgID="Equation.3" ShapeID="_x0000_i1032" DrawAspect="Content" ObjectID="_1584453624" r:id="rId27"/>
              </w:object>
            </w:r>
          </w:p>
        </w:tc>
      </w:tr>
      <w:tr w:rsidR="002C1C50" w:rsidRPr="009F3E29" w14:paraId="63BD3C82" w14:textId="77777777" w:rsidTr="00E16556">
        <w:trPr>
          <w:jc w:val="center"/>
        </w:trPr>
        <w:tc>
          <w:tcPr>
            <w:tcW w:w="1129" w:type="dxa"/>
            <w:shd w:val="clear" w:color="auto" w:fill="auto"/>
          </w:tcPr>
          <w:p w14:paraId="0C1EB6E3"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0</w:t>
            </w:r>
          </w:p>
        </w:tc>
        <w:tc>
          <w:tcPr>
            <w:tcW w:w="2001" w:type="dxa"/>
            <w:shd w:val="clear" w:color="auto" w:fill="auto"/>
          </w:tcPr>
          <w:p w14:paraId="115ACED3"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15</w:t>
            </w:r>
          </w:p>
        </w:tc>
      </w:tr>
      <w:tr w:rsidR="002C1C50" w:rsidRPr="009F3E29" w14:paraId="30810379" w14:textId="77777777" w:rsidTr="00E16556">
        <w:trPr>
          <w:jc w:val="center"/>
        </w:trPr>
        <w:tc>
          <w:tcPr>
            <w:tcW w:w="1129" w:type="dxa"/>
            <w:shd w:val="clear" w:color="auto" w:fill="auto"/>
          </w:tcPr>
          <w:p w14:paraId="6DC7287B"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1</w:t>
            </w:r>
          </w:p>
        </w:tc>
        <w:tc>
          <w:tcPr>
            <w:tcW w:w="2001" w:type="dxa"/>
            <w:shd w:val="clear" w:color="auto" w:fill="auto"/>
          </w:tcPr>
          <w:p w14:paraId="0C68EE0C"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30</w:t>
            </w:r>
          </w:p>
        </w:tc>
      </w:tr>
      <w:tr w:rsidR="002C1C50" w:rsidRPr="009F3E29" w14:paraId="08643DB0" w14:textId="77777777" w:rsidTr="00E16556">
        <w:trPr>
          <w:jc w:val="center"/>
        </w:trPr>
        <w:tc>
          <w:tcPr>
            <w:tcW w:w="1129" w:type="dxa"/>
            <w:shd w:val="clear" w:color="auto" w:fill="auto"/>
          </w:tcPr>
          <w:p w14:paraId="606F0CE0"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2</w:t>
            </w:r>
          </w:p>
        </w:tc>
        <w:tc>
          <w:tcPr>
            <w:tcW w:w="2001" w:type="dxa"/>
            <w:shd w:val="clear" w:color="auto" w:fill="auto"/>
          </w:tcPr>
          <w:p w14:paraId="1F4DD800"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60</w:t>
            </w:r>
          </w:p>
        </w:tc>
      </w:tr>
      <w:tr w:rsidR="002C1C50" w:rsidRPr="009F3E29" w14:paraId="71178641" w14:textId="77777777" w:rsidTr="00E16556">
        <w:trPr>
          <w:jc w:val="center"/>
        </w:trPr>
        <w:tc>
          <w:tcPr>
            <w:tcW w:w="1129" w:type="dxa"/>
            <w:shd w:val="clear" w:color="auto" w:fill="auto"/>
          </w:tcPr>
          <w:p w14:paraId="089F3992"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3</w:t>
            </w:r>
          </w:p>
        </w:tc>
        <w:tc>
          <w:tcPr>
            <w:tcW w:w="2001" w:type="dxa"/>
            <w:shd w:val="clear" w:color="auto" w:fill="auto"/>
          </w:tcPr>
          <w:p w14:paraId="5F704518"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120</w:t>
            </w:r>
          </w:p>
        </w:tc>
      </w:tr>
      <w:tr w:rsidR="002C1C50" w:rsidRPr="009F3E29" w14:paraId="04088C70" w14:textId="77777777" w:rsidTr="00E16556">
        <w:trPr>
          <w:jc w:val="center"/>
        </w:trPr>
        <w:tc>
          <w:tcPr>
            <w:tcW w:w="1129" w:type="dxa"/>
            <w:shd w:val="clear" w:color="auto" w:fill="auto"/>
          </w:tcPr>
          <w:p w14:paraId="2E8651F7"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4</w:t>
            </w:r>
          </w:p>
        </w:tc>
        <w:tc>
          <w:tcPr>
            <w:tcW w:w="2001" w:type="dxa"/>
            <w:shd w:val="clear" w:color="auto" w:fill="auto"/>
          </w:tcPr>
          <w:p w14:paraId="72034F5D" w14:textId="77777777" w:rsidR="002C1C50" w:rsidRPr="009F3E29" w:rsidRDefault="002C1C50" w:rsidP="00E16556">
            <w:pPr>
              <w:pStyle w:val="TAC"/>
              <w:rPr>
                <w:rFonts w:ascii="Times New Roman" w:eastAsia="Batang" w:hAnsi="Times New Roman"/>
              </w:rPr>
            </w:pPr>
            <w:r w:rsidRPr="009F3E29">
              <w:rPr>
                <w:rFonts w:ascii="Times New Roman" w:eastAsia="Batang" w:hAnsi="Times New Roman"/>
              </w:rPr>
              <w:t>240</w:t>
            </w:r>
          </w:p>
        </w:tc>
      </w:tr>
    </w:tbl>
    <w:p w14:paraId="57005CA8" w14:textId="77777777" w:rsidR="002C1C50" w:rsidRPr="009F3E29" w:rsidRDefault="002C1C50" w:rsidP="002C1C50">
      <w:pPr>
        <w:rPr>
          <w:i/>
          <w:szCs w:val="22"/>
          <w:lang w:eastAsia="sv-SE"/>
        </w:rPr>
      </w:pPr>
    </w:p>
    <w:p w14:paraId="21875E37" w14:textId="6FBC59B3" w:rsidR="005C2DE2" w:rsidRPr="009F3E29" w:rsidRDefault="002C1C50" w:rsidP="002C1C50">
      <w:r w:rsidRPr="009F3E29">
        <w:t>As for</w:t>
      </w:r>
      <w:r w:rsidR="00556C98" w:rsidRPr="009F3E29">
        <w:t xml:space="preserve"> random access response (RAR), the timing advance command indicates an index value </w:t>
      </w:r>
      <w:r w:rsidR="00556C98" w:rsidRPr="009F3E29">
        <w:rPr>
          <w:position w:val="-10"/>
        </w:rPr>
        <w:object w:dxaOrig="300" w:dyaOrig="340" w14:anchorId="1BC8F935">
          <v:shape id="_x0000_i1033" type="#_x0000_t75" style="width:14.2pt;height:17.45pt" o:ole="">
            <v:imagedata r:id="rId28" o:title=""/>
          </v:shape>
          <o:OLEObject Type="Embed" ProgID="Equation.3" ShapeID="_x0000_i1033" DrawAspect="Content" ObjectID="_1584453625" r:id="rId29"/>
        </w:object>
      </w:r>
      <w:r w:rsidR="00556C98" w:rsidRPr="009F3E29">
        <w:t xml:space="preserve"> = {0, 1, 2, ..., 3846} where an amount of the time alignment for the TAG for subcarrier spacing of </w:t>
      </w:r>
      <w:r w:rsidR="00556C98" w:rsidRPr="009F3E29">
        <w:rPr>
          <w:position w:val="-6"/>
        </w:rPr>
        <w:object w:dxaOrig="660" w:dyaOrig="320" w14:anchorId="080D1A68">
          <v:shape id="_x0000_i1034" type="#_x0000_t75" style="width:33pt;height:15.6pt" o:ole="">
            <v:imagedata r:id="rId30" o:title=""/>
          </v:shape>
          <o:OLEObject Type="Embed" ProgID="Equation.3" ShapeID="_x0000_i1034" DrawAspect="Content" ObjectID="_1584453626" r:id="rId31"/>
        </w:object>
      </w:r>
      <w:r w:rsidR="00556C98" w:rsidRPr="009F3E29">
        <w:t xml:space="preserve"> kHz is given by </w:t>
      </w:r>
      <w:r w:rsidR="00556C98" w:rsidRPr="009F3E29">
        <w:rPr>
          <w:position w:val="-12"/>
        </w:rPr>
        <w:object w:dxaOrig="2480" w:dyaOrig="380" w14:anchorId="79BACB70">
          <v:shape id="_x0000_i1035" type="#_x0000_t75" style="width:120.6pt;height:19.7pt" o:ole="">
            <v:imagedata r:id="rId32" o:title=""/>
          </v:shape>
          <o:OLEObject Type="Embed" ProgID="Equation.3" ShapeID="_x0000_i1035" DrawAspect="Content" ObjectID="_1584453627" r:id="rId33"/>
        </w:object>
      </w:r>
      <w:r w:rsidR="00556C98" w:rsidRPr="009F3E29">
        <w:t xml:space="preserve">. </w:t>
      </w:r>
      <w:r w:rsidR="00B22C86" w:rsidRPr="00B22C86">
        <w:t xml:space="preserve">In both LTE and NR, the granularity of 0.52 </w:t>
      </w:r>
      <w:proofErr w:type="spellStart"/>
      <w:r w:rsidR="00B22C86" w:rsidRPr="00B22C86">
        <w:t>μs</w:t>
      </w:r>
      <w:proofErr w:type="spellEnd"/>
      <w:r w:rsidR="00B22C86" w:rsidRPr="00B22C86">
        <w:t xml:space="preserve"> is considered for the base numerology of 15 kHz </w:t>
      </w:r>
      <w:proofErr w:type="gramStart"/>
      <w:r w:rsidR="00B22C86" w:rsidRPr="00B22C86">
        <w:t>in order to</w:t>
      </w:r>
      <w:proofErr w:type="gramEnd"/>
      <w:r w:rsidR="00B22C86" w:rsidRPr="00B22C86">
        <w:t xml:space="preserve"> enable the uplink transmission timing to be set with a relatively good accuracy within the length of the uplink CP. </w:t>
      </w:r>
      <w:r w:rsidR="00556C98" w:rsidRPr="009F3E29">
        <w:t xml:space="preserve">It should be pointed out that </w:t>
      </w:r>
      <w:r w:rsidR="00556C98" w:rsidRPr="009F3E29">
        <w:rPr>
          <w:position w:val="-10"/>
        </w:rPr>
        <w:object w:dxaOrig="460" w:dyaOrig="340" w14:anchorId="0E1B88B8">
          <v:shape id="_x0000_i1036" type="#_x0000_t75" style="width:22.45pt;height:17.45pt" o:ole="">
            <v:imagedata r:id="rId34" o:title=""/>
          </v:shape>
          <o:OLEObject Type="Embed" ProgID="Equation.3" ShapeID="_x0000_i1036" DrawAspect="Content" ObjectID="_1584453628" r:id="rId35"/>
        </w:object>
      </w:r>
      <w:r w:rsidR="00556C98" w:rsidRPr="009F3E29">
        <w:rPr>
          <w:rFonts w:eastAsia="MS Mincho"/>
          <w:i/>
          <w:vertAlign w:val="subscript"/>
        </w:rPr>
        <w:t xml:space="preserve"> </w:t>
      </w:r>
      <w:r w:rsidR="00556C98" w:rsidRPr="009F3E29">
        <w:rPr>
          <w:rFonts w:eastAsia="MS Mincho"/>
        </w:rPr>
        <w:t xml:space="preserve">is the timing offset between uplink and downlink radio frames at the UE and is relative to the subcarrier spacing of the first uplink transmission from the UE after the reception of the random-access response. It should also </w:t>
      </w:r>
      <w:r w:rsidRPr="009F3E29">
        <w:rPr>
          <w:rFonts w:eastAsia="MS Mincho"/>
        </w:rPr>
        <w:t xml:space="preserve">be </w:t>
      </w:r>
      <w:r w:rsidR="00556C98" w:rsidRPr="009F3E29">
        <w:rPr>
          <w:rFonts w:eastAsia="MS Mincho"/>
        </w:rPr>
        <w:t xml:space="preserve">noted that </w:t>
      </w:r>
      <w:r w:rsidR="00556C98" w:rsidRPr="009F3E29">
        <w:rPr>
          <w:position w:val="-10"/>
        </w:rPr>
        <w:object w:dxaOrig="460" w:dyaOrig="340" w14:anchorId="5158A63A">
          <v:shape id="_x0000_i1037" type="#_x0000_t75" style="width:22.45pt;height:17.45pt" o:ole="">
            <v:imagedata r:id="rId34" o:title=""/>
          </v:shape>
          <o:OLEObject Type="Embed" ProgID="Equation.3" ShapeID="_x0000_i1037" DrawAspect="Content" ObjectID="_1584453629" r:id="rId36"/>
        </w:object>
      </w:r>
      <w:r w:rsidR="00556C98" w:rsidRPr="009F3E29">
        <w:t xml:space="preserve">can be expressed in units of </w:t>
      </w:r>
      <w:r w:rsidR="00556C98" w:rsidRPr="009F3E29">
        <w:rPr>
          <w:position w:val="-12"/>
        </w:rPr>
        <w:object w:dxaOrig="240" w:dyaOrig="360" w14:anchorId="50EDDF6D">
          <v:shape id="_x0000_i1038" type="#_x0000_t75" style="width:12.85pt;height:17.9pt" o:ole="">
            <v:imagedata r:id="rId37" o:title=""/>
          </v:shape>
          <o:OLEObject Type="Embed" ProgID="Equation.3" ShapeID="_x0000_i1038" DrawAspect="Content" ObjectID="_1584453630" r:id="rId38"/>
        </w:object>
      </w:r>
      <w:r w:rsidR="00556C98" w:rsidRPr="009F3E29">
        <w:t xml:space="preserve"> where </w:t>
      </w:r>
      <w:r w:rsidR="00556C98" w:rsidRPr="009F3E29">
        <w:rPr>
          <w:position w:val="-12"/>
        </w:rPr>
        <w:object w:dxaOrig="3600" w:dyaOrig="360" w14:anchorId="50A14910">
          <v:shape id="_x0000_i1039" type="#_x0000_t75" style="width:183.9pt;height:17.9pt" o:ole="">
            <v:imagedata r:id="rId39" o:title=""/>
          </v:shape>
          <o:OLEObject Type="Embed" ProgID="Equation.3" ShapeID="_x0000_i1039" DrawAspect="Content" ObjectID="_1584453631" r:id="rId40"/>
        </w:object>
      </w:r>
      <w:r w:rsidR="00556C98" w:rsidRPr="009F3E29">
        <w:t>.</w:t>
      </w:r>
      <w:r w:rsidRPr="009F3E29">
        <w:t xml:space="preserve"> </w:t>
      </w:r>
    </w:p>
    <w:p w14:paraId="23B0CB81" w14:textId="6CC97F5F" w:rsidR="002C1C50" w:rsidRPr="009F3E29" w:rsidRDefault="002C1C50" w:rsidP="002C1C50">
      <w:r w:rsidRPr="009F3E29">
        <w:t>Accordingly, in NR, the timing advance command can indicate up to 2</w:t>
      </w:r>
      <w:r w:rsidRPr="009F3E29">
        <w:rPr>
          <w:i/>
        </w:rPr>
        <w:t>msec</w:t>
      </w:r>
      <w:r w:rsidRPr="009F3E29">
        <w:t xml:space="preserve"> timing alignment for 15kHz subcarrier spacing which is corresponding to </w:t>
      </w:r>
      <w:r w:rsidRPr="009F3E29">
        <w:rPr>
          <w:position w:val="-10"/>
        </w:rPr>
        <w:object w:dxaOrig="300" w:dyaOrig="340" w14:anchorId="63CD6EFE">
          <v:shape id="_x0000_i1040" type="#_x0000_t75" style="width:14.2pt;height:17.45pt" o:ole="">
            <v:imagedata r:id="rId41" o:title=""/>
          </v:shape>
          <o:OLEObject Type="Embed" ProgID="Equation.3" ShapeID="_x0000_i1040" DrawAspect="Content" ObjectID="_1584453632" r:id="rId42"/>
        </w:object>
      </w:r>
      <w:r w:rsidR="005C2DE2" w:rsidRPr="009F3E29">
        <w:t xml:space="preserve"> = 3846</w:t>
      </w:r>
      <w:r w:rsidR="001542C6">
        <w:t>, which is cor</w:t>
      </w:r>
      <w:r w:rsidR="00151E2F">
        <w:t>responding to 300 km cell size</w:t>
      </w:r>
      <w:r w:rsidR="001542C6">
        <w:t xml:space="preserve">, </w:t>
      </w:r>
      <w:r w:rsidR="005C2DE2" w:rsidRPr="009F3E29">
        <w:t xml:space="preserve">i.e., </w:t>
      </w:r>
    </w:p>
    <w:p w14:paraId="37F72224" w14:textId="77777777" w:rsidR="002C1C50" w:rsidRPr="009F3E29" w:rsidRDefault="002C1C50" w:rsidP="002C1C50">
      <w:pPr>
        <w:jc w:val="center"/>
      </w:pPr>
      <w:r w:rsidRPr="009F3E29">
        <w:rPr>
          <w:position w:val="-10"/>
        </w:rPr>
        <w:object w:dxaOrig="3700" w:dyaOrig="340" w14:anchorId="5B27DF5D">
          <v:shape id="_x0000_i1041" type="#_x0000_t75" style="width:180.7pt;height:17.45pt" o:ole="">
            <v:imagedata r:id="rId43" o:title=""/>
          </v:shape>
          <o:OLEObject Type="Embed" ProgID="Equation.3" ShapeID="_x0000_i1041" DrawAspect="Content" ObjectID="_1584453633" r:id="rId44"/>
        </w:object>
      </w:r>
    </w:p>
    <w:p w14:paraId="2B36A3D5" w14:textId="77777777" w:rsidR="00556C98" w:rsidRPr="009F3E29" w:rsidRDefault="00556C98" w:rsidP="00556C98"/>
    <w:p w14:paraId="7AA2CDAA" w14:textId="77777777" w:rsidR="008A0B24" w:rsidRPr="009F3E29" w:rsidRDefault="008A0B24" w:rsidP="004251E3">
      <w:pPr>
        <w:rPr>
          <w:sz w:val="20"/>
          <w:lang w:eastAsia="sv-SE"/>
        </w:rPr>
      </w:pPr>
    </w:p>
    <w:p w14:paraId="570E10A7" w14:textId="7CEBD50B" w:rsidR="00180B6F" w:rsidRPr="009F3E29" w:rsidRDefault="001542C6" w:rsidP="006C59FF">
      <w:pPr>
        <w:pStyle w:val="Heading1"/>
        <w:rPr>
          <w:rFonts w:ascii="Times New Roman" w:hAnsi="Times New Roman"/>
          <w:b/>
          <w:sz w:val="32"/>
          <w:szCs w:val="32"/>
          <w:lang w:val="en-US"/>
        </w:rPr>
      </w:pPr>
      <w:r w:rsidRPr="009F3E29">
        <w:rPr>
          <w:rFonts w:ascii="Times New Roman" w:hAnsi="Times New Roman"/>
          <w:b/>
          <w:sz w:val="32"/>
          <w:szCs w:val="32"/>
        </w:rPr>
        <w:t>Impact</w:t>
      </w:r>
      <w:r w:rsidR="005C2DE2" w:rsidRPr="009F3E29">
        <w:rPr>
          <w:rFonts w:ascii="Times New Roman" w:hAnsi="Times New Roman"/>
          <w:b/>
          <w:sz w:val="32"/>
          <w:szCs w:val="32"/>
        </w:rPr>
        <w:t xml:space="preserve"> of Timing Advance on NTN</w:t>
      </w:r>
    </w:p>
    <w:p w14:paraId="0503199A" w14:textId="26D74CB2" w:rsidR="000B0C3F" w:rsidRDefault="00DD67E8" w:rsidP="002C1C50">
      <w:r>
        <w:t>The n</w:t>
      </w:r>
      <w:r w:rsidR="000B0C3F" w:rsidRPr="000B0C3F">
        <w:t>on-terrestrial networks cover a broad range of airborne (e.g., High Altitude UAS Platforms (HAPs)) or spaceborne (e.g., Satellites (LEO, MEO, GEO)) vehicles for transmission, each with a different round trip propagation delay.</w:t>
      </w:r>
      <w:r w:rsidR="000B0C3F">
        <w:t xml:space="preserve"> In fact,</w:t>
      </w:r>
      <w:r w:rsidR="000B0C3F" w:rsidRPr="000B0C3F">
        <w:t xml:space="preserve"> </w:t>
      </w:r>
      <w:r w:rsidR="000B0C3F">
        <w:t>depending on the deployment scenario, t</w:t>
      </w:r>
      <w:r w:rsidR="002C1C50" w:rsidRPr="009F3E29">
        <w:t>he round-trip propagation delay could be in the range of hundreds of milliseconds</w:t>
      </w:r>
      <w:r w:rsidR="000B0C3F">
        <w:t xml:space="preserve"> which is</w:t>
      </w:r>
      <w:r w:rsidR="002C1C50" w:rsidRPr="009F3E29">
        <w:t xml:space="preserve"> much larger than the </w:t>
      </w:r>
      <w:r>
        <w:t>terrestrial networks</w:t>
      </w:r>
      <w:r w:rsidR="002C1C50" w:rsidRPr="009F3E29">
        <w:t>. More specifically, for a satellite link, the target for user plane Round Trip Time (RTT) can be as high as 600ms for GEO satellite systems, up to 180ms for MEO satellite systems, and up to 50ms for LEO satellite systems</w:t>
      </w:r>
      <w:r w:rsidR="005D553C">
        <w:t xml:space="preserve"> </w:t>
      </w:r>
      <w:r w:rsidR="00BF3D2C">
        <w:fldChar w:fldCharType="begin"/>
      </w:r>
      <w:r w:rsidR="00BF3D2C">
        <w:instrText xml:space="preserve"> REF _Ref505778643 \n \h </w:instrText>
      </w:r>
      <w:r w:rsidR="00BF3D2C">
        <w:fldChar w:fldCharType="separate"/>
      </w:r>
      <w:r w:rsidR="00BF3D2C">
        <w:t>[4]</w:t>
      </w:r>
      <w:r w:rsidR="00BF3D2C">
        <w:fldChar w:fldCharType="end"/>
      </w:r>
      <w:r w:rsidR="002C1C50" w:rsidRPr="009F3E29">
        <w:t xml:space="preserve">. Accordingly, the </w:t>
      </w:r>
      <w:r w:rsidR="000B0C3F">
        <w:t xml:space="preserve">applicability of the </w:t>
      </w:r>
      <w:r w:rsidR="002C1C50" w:rsidRPr="009F3E29">
        <w:t>current timing advance mechanism</w:t>
      </w:r>
      <w:r w:rsidR="000B0C3F">
        <w:t xml:space="preserve"> for</w:t>
      </w:r>
      <w:r w:rsidR="002C1C50" w:rsidRPr="009F3E29">
        <w:t xml:space="preserve"> terrestrial networks </w:t>
      </w:r>
      <w:r w:rsidR="000B0C3F">
        <w:t>to the</w:t>
      </w:r>
      <w:r w:rsidR="002C1C50" w:rsidRPr="009F3E29">
        <w:t xml:space="preserve"> non-terrestrial networks</w:t>
      </w:r>
      <w:r w:rsidR="000B0C3F">
        <w:t xml:space="preserve"> should be carefully </w:t>
      </w:r>
      <w:r w:rsidR="001542C6">
        <w:t>evaluated</w:t>
      </w:r>
      <w:r w:rsidR="002C1C50" w:rsidRPr="009F3E29">
        <w:t xml:space="preserve">. </w:t>
      </w:r>
    </w:p>
    <w:p w14:paraId="099C9DB9" w14:textId="35033590" w:rsidR="002C1C50" w:rsidRPr="009F3E29" w:rsidRDefault="00E820DD" w:rsidP="002C1C50">
      <w:r>
        <w:t xml:space="preserve">The </w:t>
      </w:r>
      <w:r w:rsidR="002C1C50" w:rsidRPr="009F3E29">
        <w:t>RTT</w:t>
      </w:r>
      <w:r>
        <w:t xml:space="preserve"> </w:t>
      </w:r>
      <w:r w:rsidR="00A26412">
        <w:t xml:space="preserve">can be estimated based on </w:t>
      </w:r>
      <w:r w:rsidR="002C1C50" w:rsidRPr="009F3E29">
        <w:t>the distance between the gNB and UE</w:t>
      </w:r>
      <w:r w:rsidR="00A26412">
        <w:t xml:space="preserve"> and the speed of</w:t>
      </w:r>
      <w:r w:rsidR="002C1C50" w:rsidRPr="009F3E29">
        <w:t xml:space="preserve"> light. The distance between the gNB and UE </w:t>
      </w:r>
      <w:r w:rsidR="00A26412">
        <w:t>is a</w:t>
      </w:r>
      <w:r w:rsidR="00F60381">
        <w:t xml:space="preserve"> </w:t>
      </w:r>
      <w:r w:rsidR="00A26412">
        <w:t>function of</w:t>
      </w:r>
      <w:r w:rsidR="002C1C50" w:rsidRPr="009F3E29">
        <w:t xml:space="preserve"> the distance of the </w:t>
      </w:r>
      <w:r w:rsidR="00F60381">
        <w:t>satellite</w:t>
      </w:r>
      <w:r w:rsidR="002C1C50" w:rsidRPr="009F3E29">
        <w:t xml:space="preserve"> from Earth and the angle of elevation. Therefore, the non-terrestrial gNB</w:t>
      </w:r>
      <w:r w:rsidR="00572F80">
        <w:t xml:space="preserve"> may use the knowledge of</w:t>
      </w:r>
      <w:r w:rsidR="002C1C50" w:rsidRPr="009F3E29">
        <w:t xml:space="preserve"> its distance from the Earth and the footprint of its beam on the Earth</w:t>
      </w:r>
      <w:r w:rsidR="00572F80">
        <w:t xml:space="preserve"> </w:t>
      </w:r>
      <w:proofErr w:type="gramStart"/>
      <w:r w:rsidR="00572F80">
        <w:t>in order to</w:t>
      </w:r>
      <w:proofErr w:type="gramEnd"/>
      <w:r w:rsidR="00572F80">
        <w:t xml:space="preserve"> estimate </w:t>
      </w:r>
      <w:r w:rsidR="002C1C50" w:rsidRPr="009F3E29">
        <w:t>the maximum and the minimum round-trip times.</w:t>
      </w:r>
      <w:r w:rsidR="00572F80">
        <w:t xml:space="preserve"> U</w:t>
      </w:r>
      <w:r w:rsidR="00572F80" w:rsidRPr="009F3E29">
        <w:t xml:space="preserve">nlike </w:t>
      </w:r>
      <w:r w:rsidR="00572F80">
        <w:t xml:space="preserve">the </w:t>
      </w:r>
      <w:r w:rsidR="00572F80" w:rsidRPr="009F3E29">
        <w:t>terrestrial cellular networks</w:t>
      </w:r>
      <w:r w:rsidR="00572F80">
        <w:t>, t</w:t>
      </w:r>
      <w:r w:rsidR="002C1C50" w:rsidRPr="009F3E29">
        <w:t>he maximum round-trip time and the range of variation of round-tr</w:t>
      </w:r>
      <w:r w:rsidR="00572F80">
        <w:t>ip time can be quite different</w:t>
      </w:r>
      <w:r w:rsidR="002C1C50" w:rsidRPr="009F3E29">
        <w:t xml:space="preserve">. For example, for the geostationary (GEO) satellite, the maximum round-trip time can be as high as 600ms, but the variation of the </w:t>
      </w:r>
      <w:r w:rsidR="00E435E9" w:rsidRPr="009F3E29">
        <w:t>round-trip</w:t>
      </w:r>
      <w:r w:rsidR="002C1C50" w:rsidRPr="009F3E29">
        <w:t xml:space="preserve"> time (which is dependent on the footprint) can be much smaller (as shown in </w:t>
      </w:r>
      <w:r w:rsidR="002C1C50" w:rsidRPr="009F3E29">
        <w:fldChar w:fldCharType="begin"/>
      </w:r>
      <w:r w:rsidR="002C1C50" w:rsidRPr="009F3E29">
        <w:instrText xml:space="preserve"> REF _Ref510097417 \h  \* MERGEFORMAT </w:instrText>
      </w:r>
      <w:r w:rsidR="002C1C50" w:rsidRPr="009F3E29">
        <w:fldChar w:fldCharType="separate"/>
      </w:r>
      <w:r w:rsidR="0042006C" w:rsidRPr="009F3E29">
        <w:t xml:space="preserve">Figure </w:t>
      </w:r>
      <w:r w:rsidR="0042006C" w:rsidRPr="009F3E29">
        <w:rPr>
          <w:noProof/>
        </w:rPr>
        <w:t>1</w:t>
      </w:r>
      <w:r w:rsidR="002C1C50" w:rsidRPr="009F3E29">
        <w:fldChar w:fldCharType="end"/>
      </w:r>
      <w:r w:rsidR="002C1C50" w:rsidRPr="009F3E29">
        <w:t>).</w:t>
      </w:r>
    </w:p>
    <w:p w14:paraId="585B7801" w14:textId="73ED4AD3" w:rsidR="002C1C50" w:rsidRPr="009F3E29" w:rsidRDefault="002C1C50" w:rsidP="002C1C50"/>
    <w:p w14:paraId="4817A83D" w14:textId="31B59DBB" w:rsidR="002C1C50" w:rsidRPr="009F3E29" w:rsidRDefault="002C1C50" w:rsidP="002C1C50"/>
    <w:p w14:paraId="4E9DF8E3" w14:textId="57EC36BB" w:rsidR="002C1C50" w:rsidRPr="009F3E29" w:rsidRDefault="007C4B69" w:rsidP="007C4B69">
      <w:r>
        <w:rPr>
          <w:noProof/>
          <w:lang w:val="en-US" w:eastAsia="en-US"/>
        </w:rPr>
        <w:drawing>
          <wp:inline distT="0" distB="0" distL="0" distR="0" wp14:anchorId="1BEA6B97" wp14:editId="5E881285">
            <wp:extent cx="6172200" cy="4628047"/>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87167" cy="4639269"/>
                    </a:xfrm>
                    <a:prstGeom prst="rect">
                      <a:avLst/>
                    </a:prstGeom>
                    <a:noFill/>
                  </pic:spPr>
                </pic:pic>
              </a:graphicData>
            </a:graphic>
          </wp:inline>
        </w:drawing>
      </w:r>
    </w:p>
    <w:p w14:paraId="1D61F64E" w14:textId="2D8D31E5" w:rsidR="002C1C50" w:rsidRPr="009F3E29" w:rsidRDefault="002C1C50" w:rsidP="002C1C50">
      <w:pPr>
        <w:pStyle w:val="Caption"/>
      </w:pPr>
      <w:bookmarkStart w:id="1" w:name="_Ref510097417"/>
      <w:r w:rsidRPr="009F3E29">
        <w:t xml:space="preserve">Figure </w:t>
      </w:r>
      <w:r w:rsidRPr="009F3E29">
        <w:fldChar w:fldCharType="begin"/>
      </w:r>
      <w:r w:rsidRPr="009F3E29">
        <w:instrText xml:space="preserve"> SEQ Figure \* ARABIC </w:instrText>
      </w:r>
      <w:r w:rsidRPr="009F3E29">
        <w:fldChar w:fldCharType="separate"/>
      </w:r>
      <w:r w:rsidR="0042006C" w:rsidRPr="009F3E29">
        <w:rPr>
          <w:noProof/>
        </w:rPr>
        <w:t>1</w:t>
      </w:r>
      <w:r w:rsidRPr="009F3E29">
        <w:fldChar w:fldCharType="end"/>
      </w:r>
      <w:bookmarkEnd w:id="1"/>
      <w:r w:rsidRPr="009F3E29">
        <w:t xml:space="preserve">. </w:t>
      </w:r>
      <w:r w:rsidR="00B23708" w:rsidRPr="009F3E29">
        <w:t>V</w:t>
      </w:r>
      <w:r w:rsidRPr="009F3E29">
        <w:t xml:space="preserve">ariation of the </w:t>
      </w:r>
      <w:r w:rsidR="00E435E9" w:rsidRPr="009F3E29">
        <w:t>round-trip</w:t>
      </w:r>
      <w:r w:rsidRPr="009F3E29">
        <w:t xml:space="preserve"> time</w:t>
      </w:r>
      <w:r w:rsidR="00B23708" w:rsidRPr="009F3E29">
        <w:t xml:space="preserve"> with respect to the </w:t>
      </w:r>
      <w:r w:rsidR="00EE2A64" w:rsidRPr="009F3E29">
        <w:t>round-trip</w:t>
      </w:r>
      <w:r w:rsidR="00B23708" w:rsidRPr="009F3E29">
        <w:t xml:space="preserve"> time in NTN</w:t>
      </w:r>
      <w:r w:rsidRPr="009F3E29">
        <w:t>.</w:t>
      </w:r>
    </w:p>
    <w:p w14:paraId="5232E002" w14:textId="77777777" w:rsidR="002C1C50" w:rsidRPr="009F3E29" w:rsidRDefault="002C1C50" w:rsidP="002C1C50"/>
    <w:p w14:paraId="04C8861F" w14:textId="006A3610" w:rsidR="002C1C50" w:rsidRPr="009F3E29" w:rsidRDefault="001542C6" w:rsidP="002C1C50">
      <w:r>
        <w:t xml:space="preserve">From the above discussions, it can be concluded that </w:t>
      </w:r>
      <w:proofErr w:type="gramStart"/>
      <w:r>
        <w:t>as long as</w:t>
      </w:r>
      <w:proofErr w:type="gramEnd"/>
      <w:r>
        <w:t xml:space="preserve"> the variation of the RTT corresponding to the footprint of the satellite beam is limited to </w:t>
      </w:r>
      <w:r w:rsidR="00496BC0">
        <w:t>2</w:t>
      </w:r>
      <w:r w:rsidR="00496BC0" w:rsidRPr="00496BC0">
        <w:rPr>
          <w:i/>
        </w:rPr>
        <w:t>msec</w:t>
      </w:r>
      <w:r w:rsidR="00496BC0">
        <w:t xml:space="preserve"> (i.e., </w:t>
      </w:r>
      <w:r>
        <w:t>300km</w:t>
      </w:r>
      <w:r w:rsidR="006C7D76">
        <w:t xml:space="preserve"> cell</w:t>
      </w:r>
      <w:r>
        <w:t xml:space="preserve"> </w:t>
      </w:r>
      <w:r w:rsidR="00627275">
        <w:t>size</w:t>
      </w:r>
      <w:r w:rsidR="00496BC0">
        <w:t>)</w:t>
      </w:r>
      <w:r>
        <w:t xml:space="preserve">, the existing timing advance mechanism from NR </w:t>
      </w:r>
      <w:r w:rsidR="00797261">
        <w:t>is applicable to</w:t>
      </w:r>
      <w:r>
        <w:t xml:space="preserve"> the NTN.</w:t>
      </w:r>
      <w:r w:rsidR="00797261">
        <w:t xml:space="preserve"> </w:t>
      </w:r>
      <w:r w:rsidR="00A42D3D">
        <w:t xml:space="preserve">This could be the case for low altitude satellites (e.g., LEO) or HAPS. </w:t>
      </w:r>
      <w:r w:rsidR="00797261">
        <w:t>However</w:t>
      </w:r>
      <w:r w:rsidR="002C1C50" w:rsidRPr="009F3E29">
        <w:t xml:space="preserve">, </w:t>
      </w:r>
      <w:r w:rsidR="00797261">
        <w:t xml:space="preserve">for </w:t>
      </w:r>
      <w:r w:rsidR="00A42D3D">
        <w:t>high altitude satellites</w:t>
      </w:r>
      <w:r w:rsidR="00797261">
        <w:t xml:space="preserve"> such as MEO and GEO, </w:t>
      </w:r>
      <w:r w:rsidR="002C1C50" w:rsidRPr="009F3E29">
        <w:t xml:space="preserve">a </w:t>
      </w:r>
      <w:r w:rsidR="00797261">
        <w:t xml:space="preserve">more </w:t>
      </w:r>
      <w:r w:rsidR="002C1C50" w:rsidRPr="009F3E29">
        <w:t xml:space="preserve">flexible timing advance mechanism which could efficiently adapt to the specific deployment scenario under the same general framework </w:t>
      </w:r>
      <w:r w:rsidR="00797261">
        <w:t>may be needed</w:t>
      </w:r>
      <w:r w:rsidR="002C1C50" w:rsidRPr="009F3E29">
        <w:t>.</w:t>
      </w:r>
    </w:p>
    <w:p w14:paraId="4C820946" w14:textId="4BE1B421" w:rsidR="002C1C50" w:rsidRDefault="00125CC4" w:rsidP="002C1C50">
      <w:r>
        <w:rPr>
          <w:bCs/>
        </w:rPr>
        <w:t xml:space="preserve">One </w:t>
      </w:r>
      <w:r w:rsidR="00E435E9">
        <w:rPr>
          <w:bCs/>
        </w:rPr>
        <w:t>straightforward</w:t>
      </w:r>
      <w:r>
        <w:rPr>
          <w:bCs/>
        </w:rPr>
        <w:t xml:space="preserve"> solution</w:t>
      </w:r>
      <w:r w:rsidR="002C1C50" w:rsidRPr="009F3E29">
        <w:rPr>
          <w:bCs/>
        </w:rPr>
        <w:t xml:space="preserve"> to support non-terrestrial </w:t>
      </w:r>
      <w:r w:rsidR="006C7D76">
        <w:rPr>
          <w:bCs/>
        </w:rPr>
        <w:t>networks</w:t>
      </w:r>
      <w:r>
        <w:rPr>
          <w:bCs/>
        </w:rPr>
        <w:t xml:space="preserve"> is to introduce</w:t>
      </w:r>
      <w:r w:rsidR="002C1C50" w:rsidRPr="009F3E29">
        <w:rPr>
          <w:bCs/>
        </w:rPr>
        <w:t xml:space="preserve"> an extended timing advance command, </w:t>
      </w:r>
      <w:r w:rsidR="002C1C50" w:rsidRPr="009F3E29">
        <w:rPr>
          <w:position w:val="-10"/>
        </w:rPr>
        <w:object w:dxaOrig="380" w:dyaOrig="340" w14:anchorId="5A70E247">
          <v:shape id="_x0000_i1042" type="#_x0000_t75" style="width:17.9pt;height:17.45pt" o:ole="">
            <v:imagedata r:id="rId46" o:title=""/>
          </v:shape>
          <o:OLEObject Type="Embed" ProgID="Equation.3" ShapeID="_x0000_i1042" DrawAspect="Content" ObjectID="_1584453634" r:id="rId47"/>
        </w:object>
      </w:r>
      <w:r w:rsidR="002C1C50" w:rsidRPr="009F3E29">
        <w:t xml:space="preserve">, in RAR in the form of a bitfield </w:t>
      </w:r>
      <w:r w:rsidR="009C42F3">
        <w:t>that</w:t>
      </w:r>
      <w:r w:rsidR="009C42F3" w:rsidRPr="009F3E29">
        <w:t xml:space="preserve"> </w:t>
      </w:r>
      <w:r w:rsidR="002C1C50" w:rsidRPr="009F3E29">
        <w:t xml:space="preserve">has larger length than the one </w:t>
      </w:r>
      <w:r w:rsidR="00BF3D2C">
        <w:t xml:space="preserve">already </w:t>
      </w:r>
      <w:r w:rsidR="002C1C50" w:rsidRPr="009F3E29">
        <w:t xml:space="preserve">used </w:t>
      </w:r>
      <w:r w:rsidR="00C112DB">
        <w:t>in NR</w:t>
      </w:r>
      <w:r w:rsidR="002C1C50" w:rsidRPr="009F3E29">
        <w:t xml:space="preserve">. In this </w:t>
      </w:r>
      <w:r w:rsidR="00F714A0">
        <w:t>approach</w:t>
      </w:r>
      <w:r w:rsidR="002C1C50" w:rsidRPr="009F3E29">
        <w:t xml:space="preserve">, </w:t>
      </w:r>
      <w:r w:rsidR="007331B0">
        <w:t xml:space="preserve">to support </w:t>
      </w:r>
      <w:r w:rsidR="002C1C50" w:rsidRPr="009F3E29">
        <w:t>a</w:t>
      </w:r>
      <w:r w:rsidR="00FB2DC6">
        <w:t>n</w:t>
      </w:r>
      <w:r w:rsidR="002C1C50" w:rsidRPr="009F3E29">
        <w:t xml:space="preserve"> RTT of up to 600</w:t>
      </w:r>
      <w:r w:rsidR="002C1C50" w:rsidRPr="00F714A0">
        <w:rPr>
          <w:i/>
        </w:rPr>
        <w:t>ms</w:t>
      </w:r>
      <w:r w:rsidR="002C1C50" w:rsidRPr="009F3E29">
        <w:t xml:space="preserve"> </w:t>
      </w:r>
      <w:r w:rsidR="00F714A0">
        <w:t>for subcarrier spacing of 15</w:t>
      </w:r>
      <w:r w:rsidR="002C1C50" w:rsidRPr="009F3E29">
        <w:t xml:space="preserve">kHz </w:t>
      </w:r>
      <w:r w:rsidR="007331B0">
        <w:t>(</w:t>
      </w:r>
      <w:r w:rsidR="002C1C50" w:rsidRPr="009F3E29">
        <w:t>which is the maximum expected RTT for the non-terrestrial networks</w:t>
      </w:r>
      <w:r w:rsidR="007331B0">
        <w:t>)</w:t>
      </w:r>
      <w:r w:rsidR="004A0427" w:rsidRPr="004A0427">
        <w:t xml:space="preserve"> </w:t>
      </w:r>
      <w:r w:rsidR="004A0427" w:rsidRPr="00125CC4">
        <w:t xml:space="preserve">the range of </w:t>
      </w:r>
      <w:r w:rsidR="004A0427" w:rsidRPr="009F3E29">
        <w:rPr>
          <w:position w:val="-10"/>
        </w:rPr>
        <w:object w:dxaOrig="380" w:dyaOrig="340" w14:anchorId="47D06EDD">
          <v:shape id="_x0000_i1043" type="#_x0000_t75" style="width:17.9pt;height:17.45pt" o:ole="">
            <v:imagedata r:id="rId46" o:title=""/>
          </v:shape>
          <o:OLEObject Type="Embed" ProgID="Equation.3" ShapeID="_x0000_i1043" DrawAspect="Content" ObjectID="_1584453635" r:id="rId48"/>
        </w:object>
      </w:r>
      <w:r w:rsidR="004A0427" w:rsidRPr="00125CC4">
        <w:t xml:space="preserve"> </w:t>
      </w:r>
      <w:r w:rsidR="004A0427">
        <w:t>must</w:t>
      </w:r>
      <w:r w:rsidR="004A0427" w:rsidRPr="00125CC4">
        <w:t xml:space="preserve"> be {0, 1,…, </w:t>
      </w:r>
      <w:r w:rsidR="004A0427" w:rsidRPr="009F3E29">
        <w:rPr>
          <w:position w:val="-6"/>
        </w:rPr>
        <w:object w:dxaOrig="880" w:dyaOrig="279" w14:anchorId="2239DE17">
          <v:shape id="_x0000_i1044" type="#_x0000_t75" style="width:42.65pt;height:14.2pt" o:ole="">
            <v:imagedata r:id="rId49" o:title=""/>
          </v:shape>
          <o:OLEObject Type="Embed" ProgID="Equation.3" ShapeID="_x0000_i1044" DrawAspect="Content" ObjectID="_1584453636" r:id="rId50"/>
        </w:object>
      </w:r>
      <w:r w:rsidR="004A0427">
        <w:t>}</w:t>
      </w:r>
      <w:r w:rsidR="005D553C">
        <w:t>,</w:t>
      </w:r>
      <w:r w:rsidR="004A0427">
        <w:t xml:space="preserve"> as shown in (1)</w:t>
      </w:r>
      <w:r w:rsidR="004A0427">
        <w:fldChar w:fldCharType="begin"/>
      </w:r>
      <w:r w:rsidR="004A0427">
        <w:instrText xml:space="preserve"> REF eqNtageo \h </w:instrText>
      </w:r>
      <w:r w:rsidR="004A0427">
        <w:fldChar w:fldCharType="end"/>
      </w:r>
      <w:r w:rsidR="004A0427">
        <w:fldChar w:fldCharType="begin"/>
      </w:r>
      <w:r w:rsidR="004A0427">
        <w:instrText xml:space="preserve"> REF eqNtageo \h </w:instrText>
      </w:r>
      <w:r w:rsidR="004A0427">
        <w:fldChar w:fldCharType="end"/>
      </w:r>
      <w:r w:rsidR="004A0427">
        <w:fldChar w:fldCharType="begin"/>
      </w:r>
      <w:r w:rsidR="004A0427">
        <w:instrText xml:space="preserve"> REF eqNtageo \h </w:instrText>
      </w:r>
      <w:r w:rsidR="004A0427">
        <w:fldChar w:fldCharType="end"/>
      </w:r>
      <w:r w:rsidR="004A0427">
        <w:fldChar w:fldCharType="begin"/>
      </w:r>
      <w:r w:rsidR="004A0427">
        <w:instrText xml:space="preserve"> REF eqNtageo \h </w:instrText>
      </w:r>
      <w:r w:rsidR="004A0427">
        <w:fldChar w:fldCharType="end"/>
      </w:r>
      <w:r w:rsidR="007331B0">
        <w:t>,</w:t>
      </w:r>
      <w:r w:rsidR="002C1C50" w:rsidRPr="009F3E29">
        <w:t xml:space="preserve"> </w:t>
      </w:r>
      <w:r w:rsidR="004A0427">
        <w:t xml:space="preserve">hence </w:t>
      </w:r>
      <w:r w:rsidR="007331B0">
        <w:t>t</w:t>
      </w:r>
      <w:r w:rsidR="002C1C50" w:rsidRPr="009F3E29">
        <w:t>he bitfield</w:t>
      </w:r>
      <w:r w:rsidR="009C42F3">
        <w:t xml:space="preserve"> length</w:t>
      </w:r>
      <w:r w:rsidR="002C1C50" w:rsidRPr="009F3E29">
        <w:t xml:space="preserve"> of the </w:t>
      </w:r>
      <w:r w:rsidR="002C1C50" w:rsidRPr="009F3E29">
        <w:rPr>
          <w:bCs/>
        </w:rPr>
        <w:t>extended timing advance command</w:t>
      </w:r>
      <w:r w:rsidR="002C1C50" w:rsidRPr="009F3E29">
        <w:t xml:space="preserve"> </w:t>
      </w:r>
      <w:r w:rsidR="007331B0">
        <w:t>must</w:t>
      </w:r>
      <w:r w:rsidR="007331B0" w:rsidRPr="009F3E29">
        <w:t xml:space="preserve"> </w:t>
      </w:r>
      <w:r w:rsidR="002C1C50" w:rsidRPr="009F3E29">
        <w:t>be 21</w:t>
      </w:r>
      <w:r w:rsidR="005D553C">
        <w:t xml:space="preserve"> </w:t>
      </w:r>
      <w:r w:rsidR="002C1C50" w:rsidRPr="009F3E29">
        <w:t xml:space="preserve">bits.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7650"/>
        <w:gridCol w:w="994"/>
      </w:tblGrid>
      <w:tr w:rsidR="004A0427" w14:paraId="1F4E5D85" w14:textId="77777777" w:rsidTr="005D553C">
        <w:tc>
          <w:tcPr>
            <w:tcW w:w="985" w:type="dxa"/>
          </w:tcPr>
          <w:p w14:paraId="5F730B9E" w14:textId="77777777" w:rsidR="004A0427" w:rsidRDefault="004A0427" w:rsidP="002C1C50"/>
        </w:tc>
        <w:tc>
          <w:tcPr>
            <w:tcW w:w="7650" w:type="dxa"/>
          </w:tcPr>
          <w:p w14:paraId="5B91850A" w14:textId="5976F2FD" w:rsidR="004A0427" w:rsidRDefault="004A0427" w:rsidP="005D553C">
            <w:pPr>
              <w:jc w:val="center"/>
            </w:pPr>
            <w:r w:rsidRPr="00FB2DC6">
              <w:rPr>
                <w:position w:val="-14"/>
              </w:rPr>
              <w:object w:dxaOrig="4740" w:dyaOrig="380" w14:anchorId="1997391E">
                <v:shape id="_x0000_i1045" type="#_x0000_t75" style="width:230.2pt;height:19.7pt" o:ole="">
                  <v:imagedata r:id="rId51" o:title=""/>
                </v:shape>
                <o:OLEObject Type="Embed" ProgID="Equation.3" ShapeID="_x0000_i1045" DrawAspect="Content" ObjectID="_1584453637" r:id="rId52"/>
              </w:object>
            </w:r>
          </w:p>
        </w:tc>
        <w:tc>
          <w:tcPr>
            <w:tcW w:w="994" w:type="dxa"/>
          </w:tcPr>
          <w:p w14:paraId="78A9A5E6" w14:textId="2151E246" w:rsidR="004A0427" w:rsidRDefault="004A0427" w:rsidP="005D553C">
            <w:pPr>
              <w:jc w:val="center"/>
            </w:pPr>
            <w:bookmarkStart w:id="2" w:name="eqNtageo"/>
            <w:r>
              <w:t>(</w:t>
            </w:r>
            <w:r w:rsidR="004479BD">
              <w:fldChar w:fldCharType="begin"/>
            </w:r>
            <w:r w:rsidR="004479BD">
              <w:instrText xml:space="preserve"> SEQ (1) \* MERGEFORMAT </w:instrText>
            </w:r>
            <w:r w:rsidR="004479BD">
              <w:fldChar w:fldCharType="separate"/>
            </w:r>
            <w:r>
              <w:rPr>
                <w:noProof/>
              </w:rPr>
              <w:t>1</w:t>
            </w:r>
            <w:r w:rsidR="004479BD">
              <w:rPr>
                <w:noProof/>
              </w:rPr>
              <w:fldChar w:fldCharType="end"/>
            </w:r>
            <w:bookmarkEnd w:id="2"/>
            <w:r>
              <w:t>)</w:t>
            </w:r>
          </w:p>
        </w:tc>
      </w:tr>
    </w:tbl>
    <w:p w14:paraId="732C8B7A" w14:textId="0F63AF3A" w:rsidR="004479BD" w:rsidRPr="009F3E29" w:rsidRDefault="004479BD" w:rsidP="002C1C50">
      <w:r w:rsidRPr="004479BD">
        <w:t>However, we believe that the solution introduced above is inefficient since it adds unnecessary overhead.  More optimization and more efficient alternative solutions with no impacts on NR standards should be considered to lower the overhead of the extended timing advance command</w:t>
      </w:r>
      <w:r>
        <w:t>.</w:t>
      </w:r>
    </w:p>
    <w:p w14:paraId="1CC736AA" w14:textId="7C34E6A4" w:rsidR="002B3A7C" w:rsidRPr="009F3E29" w:rsidRDefault="00364F51" w:rsidP="004479BD">
      <w:pPr>
        <w:spacing w:before="240"/>
        <w:rPr>
          <w:sz w:val="20"/>
          <w:lang w:eastAsia="sv-SE"/>
        </w:rPr>
      </w:pPr>
      <w:bookmarkStart w:id="3" w:name="_GoBack"/>
      <w:bookmarkEnd w:id="3"/>
      <w:r w:rsidRPr="009F3E29">
        <w:rPr>
          <w:b/>
          <w:i/>
          <w:szCs w:val="22"/>
          <w:u w:val="single"/>
          <w:lang w:eastAsia="sv-SE"/>
        </w:rPr>
        <w:t>Proposal</w:t>
      </w:r>
      <w:r w:rsidR="0028606E" w:rsidRPr="009F3E29">
        <w:rPr>
          <w:b/>
          <w:i/>
          <w:szCs w:val="22"/>
          <w:u w:val="single"/>
          <w:lang w:eastAsia="sv-SE"/>
        </w:rPr>
        <w:t xml:space="preserve"> </w:t>
      </w:r>
      <w:r w:rsidR="00125CC4">
        <w:rPr>
          <w:b/>
          <w:i/>
          <w:szCs w:val="22"/>
          <w:u w:val="single"/>
          <w:lang w:eastAsia="sv-SE"/>
        </w:rPr>
        <w:t>1</w:t>
      </w:r>
      <w:r w:rsidR="0028606E" w:rsidRPr="009F3E29">
        <w:rPr>
          <w:b/>
          <w:i/>
          <w:szCs w:val="22"/>
          <w:u w:val="single"/>
          <w:lang w:eastAsia="sv-SE"/>
        </w:rPr>
        <w:t>:</w:t>
      </w:r>
      <w:r w:rsidR="0028606E" w:rsidRPr="009F3E29">
        <w:rPr>
          <w:b/>
          <w:i/>
          <w:szCs w:val="22"/>
          <w:lang w:eastAsia="sv-SE"/>
        </w:rPr>
        <w:t xml:space="preserve"> </w:t>
      </w:r>
      <w:r w:rsidR="00125CC4">
        <w:rPr>
          <w:i/>
          <w:szCs w:val="22"/>
          <w:lang w:eastAsia="sv-SE"/>
        </w:rPr>
        <w:t xml:space="preserve">The applicability of the existing timing advance </w:t>
      </w:r>
      <w:r w:rsidR="00E435E9">
        <w:rPr>
          <w:i/>
          <w:szCs w:val="22"/>
          <w:lang w:eastAsia="sv-SE"/>
        </w:rPr>
        <w:t>mechanism</w:t>
      </w:r>
      <w:r w:rsidR="00125CC4">
        <w:rPr>
          <w:i/>
          <w:szCs w:val="22"/>
          <w:lang w:eastAsia="sv-SE"/>
        </w:rPr>
        <w:t xml:space="preserve"> to non-terrestrial networks should be carefully studied. </w:t>
      </w:r>
    </w:p>
    <w:p w14:paraId="6F88EF93" w14:textId="2517E70E" w:rsidR="00721E95" w:rsidRPr="009F3E29" w:rsidRDefault="00721E95" w:rsidP="00215991"/>
    <w:p w14:paraId="596E93DF" w14:textId="4893F5BD" w:rsidR="00821C42" w:rsidRPr="009F3E29" w:rsidRDefault="00BF17FD" w:rsidP="00821C42">
      <w:pPr>
        <w:pStyle w:val="Heading1"/>
        <w:pBdr>
          <w:top w:val="single" w:sz="12" w:space="5" w:color="auto"/>
        </w:pBdr>
        <w:spacing w:after="120"/>
        <w:rPr>
          <w:rFonts w:ascii="Times New Roman" w:hAnsi="Times New Roman"/>
          <w:b/>
          <w:sz w:val="32"/>
          <w:lang w:val="en-US"/>
        </w:rPr>
      </w:pPr>
      <w:r w:rsidRPr="009F3E29">
        <w:rPr>
          <w:rFonts w:ascii="Times New Roman" w:hAnsi="Times New Roman"/>
          <w:b/>
          <w:sz w:val="32"/>
          <w:lang w:val="en-US"/>
        </w:rPr>
        <w:t>Summary</w:t>
      </w:r>
    </w:p>
    <w:p w14:paraId="245BFF38" w14:textId="351C7E46" w:rsidR="008C123C" w:rsidRDefault="008C123C" w:rsidP="006261B8">
      <w:pPr>
        <w:rPr>
          <w:szCs w:val="22"/>
        </w:rPr>
      </w:pPr>
      <w:r>
        <w:rPr>
          <w:szCs w:val="22"/>
        </w:rPr>
        <w:t>In t</w:t>
      </w:r>
      <w:r w:rsidRPr="008C123C">
        <w:rPr>
          <w:szCs w:val="22"/>
        </w:rPr>
        <w:t>his contribution</w:t>
      </w:r>
      <w:r>
        <w:rPr>
          <w:szCs w:val="22"/>
        </w:rPr>
        <w:t xml:space="preserve">, we </w:t>
      </w:r>
      <w:r w:rsidR="00E435E9">
        <w:rPr>
          <w:szCs w:val="22"/>
        </w:rPr>
        <w:t>discussed</w:t>
      </w:r>
      <w:r w:rsidRPr="008C123C">
        <w:rPr>
          <w:szCs w:val="22"/>
        </w:rPr>
        <w:t xml:space="preserve"> the impact of timing advance on 5G NR des</w:t>
      </w:r>
      <w:r w:rsidR="008A7D7E">
        <w:rPr>
          <w:szCs w:val="22"/>
        </w:rPr>
        <w:t>ign for Non-Terrestrial Network. We made the following proposal:</w:t>
      </w:r>
    </w:p>
    <w:p w14:paraId="5FB54275" w14:textId="28747302" w:rsidR="008A7D7E" w:rsidRPr="009F3E29" w:rsidRDefault="008A7D7E" w:rsidP="004479BD">
      <w:pPr>
        <w:spacing w:before="240"/>
        <w:rPr>
          <w:sz w:val="20"/>
          <w:lang w:eastAsia="sv-SE"/>
        </w:rPr>
      </w:pPr>
      <w:r w:rsidRPr="009F3E29">
        <w:rPr>
          <w:b/>
          <w:i/>
          <w:szCs w:val="22"/>
          <w:u w:val="single"/>
          <w:lang w:eastAsia="sv-SE"/>
        </w:rPr>
        <w:t xml:space="preserve">Proposal </w:t>
      </w:r>
      <w:r>
        <w:rPr>
          <w:b/>
          <w:i/>
          <w:szCs w:val="22"/>
          <w:u w:val="single"/>
          <w:lang w:eastAsia="sv-SE"/>
        </w:rPr>
        <w:t>1</w:t>
      </w:r>
      <w:r w:rsidRPr="009F3E29">
        <w:rPr>
          <w:b/>
          <w:i/>
          <w:szCs w:val="22"/>
          <w:u w:val="single"/>
          <w:lang w:eastAsia="sv-SE"/>
        </w:rPr>
        <w:t>:</w:t>
      </w:r>
      <w:r w:rsidRPr="009F3E29">
        <w:rPr>
          <w:b/>
          <w:i/>
          <w:szCs w:val="22"/>
          <w:lang w:eastAsia="sv-SE"/>
        </w:rPr>
        <w:t xml:space="preserve"> </w:t>
      </w:r>
      <w:r>
        <w:rPr>
          <w:i/>
          <w:szCs w:val="22"/>
          <w:lang w:eastAsia="sv-SE"/>
        </w:rPr>
        <w:t xml:space="preserve">The applicability of the existing timing advance </w:t>
      </w:r>
      <w:r w:rsidR="00E435E9">
        <w:rPr>
          <w:i/>
          <w:szCs w:val="22"/>
          <w:lang w:eastAsia="sv-SE"/>
        </w:rPr>
        <w:t>mechanism</w:t>
      </w:r>
      <w:r>
        <w:rPr>
          <w:i/>
          <w:szCs w:val="22"/>
          <w:lang w:eastAsia="sv-SE"/>
        </w:rPr>
        <w:t xml:space="preserve"> to non-terrestrial networks should be carefully studied. </w:t>
      </w:r>
    </w:p>
    <w:p w14:paraId="7A7E4D34" w14:textId="31CFB118" w:rsidR="00746CE2" w:rsidRPr="009F3E29" w:rsidRDefault="00746CE2" w:rsidP="003242DD">
      <w:pPr>
        <w:rPr>
          <w:sz w:val="20"/>
        </w:rPr>
      </w:pPr>
    </w:p>
    <w:p w14:paraId="0EF7466D" w14:textId="77777777" w:rsidR="00251B4A" w:rsidRPr="009F3E29" w:rsidRDefault="00251B4A" w:rsidP="00251B4A">
      <w:pPr>
        <w:pStyle w:val="Heading1"/>
        <w:rPr>
          <w:rFonts w:ascii="Times New Roman" w:hAnsi="Times New Roman"/>
          <w:b/>
          <w:sz w:val="32"/>
          <w:lang w:val="en-US"/>
        </w:rPr>
      </w:pPr>
      <w:r w:rsidRPr="009F3E29">
        <w:rPr>
          <w:rFonts w:ascii="Times New Roman" w:hAnsi="Times New Roman"/>
          <w:b/>
          <w:sz w:val="32"/>
          <w:lang w:val="en-US"/>
        </w:rPr>
        <w:t>References</w:t>
      </w:r>
    </w:p>
    <w:p w14:paraId="59EDC2ED" w14:textId="7D88540E" w:rsidR="00DD0B01" w:rsidRPr="009F3E29" w:rsidRDefault="00DD0B01" w:rsidP="00DD0B01">
      <w:pPr>
        <w:pStyle w:val="Reference"/>
      </w:pPr>
      <w:r w:rsidRPr="009F3E29">
        <w:t xml:space="preserve">RP-180182, “New Study Item on solutions evaluation for NR to support </w:t>
      </w:r>
      <w:r w:rsidR="00911357">
        <w:t>Non-</w:t>
      </w:r>
      <w:r w:rsidR="00911357" w:rsidRPr="009F3E29">
        <w:t>Terrestrial</w:t>
      </w:r>
      <w:r w:rsidRPr="009F3E29">
        <w:t xml:space="preserve"> Network”, Thales, </w:t>
      </w:r>
      <w:r w:rsidRPr="009F3E29">
        <w:rPr>
          <w:szCs w:val="22"/>
        </w:rPr>
        <w:t>3GPP TSG RAN meeting #79, Chennai, India, March 19-22, 2018.</w:t>
      </w:r>
    </w:p>
    <w:p w14:paraId="1CA3A936" w14:textId="1A2848AD" w:rsidR="00E246F8" w:rsidRPr="009F3E29" w:rsidRDefault="00903A06" w:rsidP="00903A06">
      <w:pPr>
        <w:pStyle w:val="Reference"/>
        <w:rPr>
          <w:szCs w:val="22"/>
        </w:rPr>
      </w:pPr>
      <w:bookmarkStart w:id="4" w:name="_Ref510447863"/>
      <w:r w:rsidRPr="009F3E29">
        <w:t xml:space="preserve">3GPP TR 38.811 V0.3.0, “Study on New Radio (NR) to support </w:t>
      </w:r>
      <w:r w:rsidR="00911357">
        <w:t>non-</w:t>
      </w:r>
      <w:r w:rsidR="00911357" w:rsidRPr="009F3E29">
        <w:t>terrestrial</w:t>
      </w:r>
      <w:r w:rsidRPr="009F3E29">
        <w:t xml:space="preserve"> networks,”</w:t>
      </w:r>
      <w:bookmarkEnd w:id="4"/>
    </w:p>
    <w:p w14:paraId="4C26B30D" w14:textId="132DFFB6" w:rsidR="00556C98" w:rsidRDefault="00556C98" w:rsidP="00556C98">
      <w:pPr>
        <w:pStyle w:val="Reference"/>
        <w:rPr>
          <w:szCs w:val="22"/>
        </w:rPr>
      </w:pPr>
      <w:bookmarkStart w:id="5" w:name="_Ref510447879"/>
      <w:r w:rsidRPr="009F3E29">
        <w:rPr>
          <w:szCs w:val="22"/>
        </w:rPr>
        <w:t>3GPP TS 38.213 V15.0.0, “Physical layer procedures for control (Release 15)”</w:t>
      </w:r>
      <w:bookmarkEnd w:id="5"/>
    </w:p>
    <w:p w14:paraId="66B7B65E" w14:textId="1E2456BB" w:rsidR="00F50286" w:rsidRPr="009F3E29" w:rsidRDefault="00BF3D2C" w:rsidP="00556C98">
      <w:pPr>
        <w:pStyle w:val="Reference"/>
        <w:rPr>
          <w:szCs w:val="22"/>
        </w:rPr>
      </w:pPr>
      <w:bookmarkStart w:id="6" w:name="_Ref505778643"/>
      <w:r w:rsidRPr="00BF3D2C">
        <w:rPr>
          <w:szCs w:val="22"/>
          <w:lang w:val="en-US"/>
        </w:rPr>
        <w:t>3GPP TR 38.913 V14.3.0, “Study on Scenarios and Requirements for Next Generation Access Technologies,”</w:t>
      </w:r>
      <w:bookmarkEnd w:id="6"/>
    </w:p>
    <w:p w14:paraId="243E3D34" w14:textId="77777777" w:rsidR="005C2DE2" w:rsidRPr="009F3E29" w:rsidRDefault="005C2DE2" w:rsidP="005C2DE2">
      <w:pPr>
        <w:pStyle w:val="Reference"/>
        <w:numPr>
          <w:ilvl w:val="0"/>
          <w:numId w:val="0"/>
        </w:numPr>
        <w:ind w:left="567"/>
        <w:rPr>
          <w:szCs w:val="22"/>
        </w:rPr>
      </w:pPr>
    </w:p>
    <w:sectPr w:rsidR="005C2DE2" w:rsidRPr="009F3E29" w:rsidSect="00D55085">
      <w:headerReference w:type="even" r:id="rId53"/>
      <w:footerReference w:type="default" r:id="rId5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B4D1A" w14:textId="77777777" w:rsidR="001B15D0" w:rsidRDefault="001B15D0">
      <w:r>
        <w:separator/>
      </w:r>
    </w:p>
  </w:endnote>
  <w:endnote w:type="continuationSeparator" w:id="0">
    <w:p w14:paraId="754FBB4C" w14:textId="77777777" w:rsidR="001B15D0" w:rsidRDefault="001B15D0">
      <w:r>
        <w:continuationSeparator/>
      </w:r>
    </w:p>
  </w:endnote>
  <w:endnote w:type="continuationNotice" w:id="1">
    <w:p w14:paraId="0C71A932" w14:textId="77777777" w:rsidR="001B15D0" w:rsidRDefault="001B1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4D6B24C6"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79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79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74C6" w14:textId="77777777" w:rsidR="001B15D0" w:rsidRDefault="001B15D0">
      <w:r>
        <w:separator/>
      </w:r>
    </w:p>
  </w:footnote>
  <w:footnote w:type="continuationSeparator" w:id="0">
    <w:p w14:paraId="2022C57F" w14:textId="77777777" w:rsidR="001B15D0" w:rsidRDefault="001B15D0">
      <w:r>
        <w:continuationSeparator/>
      </w:r>
    </w:p>
  </w:footnote>
  <w:footnote w:type="continuationNotice" w:id="1">
    <w:p w14:paraId="0EA383C5" w14:textId="77777777" w:rsidR="001B15D0" w:rsidRDefault="001B1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D625D"/>
    <w:multiLevelType w:val="hybridMultilevel"/>
    <w:tmpl w:val="FC145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15B8F"/>
    <w:multiLevelType w:val="hybridMultilevel"/>
    <w:tmpl w:val="91F87AEC"/>
    <w:lvl w:ilvl="0" w:tplc="EEF024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2"/>
  </w:num>
  <w:num w:numId="8">
    <w:abstractNumId w:val="6"/>
  </w:num>
  <w:num w:numId="9">
    <w:abstractNumId w:val="15"/>
  </w:num>
  <w:num w:numId="10">
    <w:abstractNumId w:val="3"/>
  </w:num>
  <w:num w:numId="11">
    <w:abstractNumId w:val="1"/>
  </w:num>
  <w:num w:numId="12">
    <w:abstractNumId w:val="10"/>
  </w:num>
  <w:num w:numId="13">
    <w:abstractNumId w:val="13"/>
  </w:num>
  <w:num w:numId="14">
    <w:abstractNumId w:val="2"/>
  </w:num>
  <w:num w:numId="15">
    <w:abstractNumId w:val="0"/>
  </w:num>
  <w:num w:numId="16">
    <w:abstractNumId w:val="4"/>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327"/>
    <w:rsid w:val="000A56F2"/>
    <w:rsid w:val="000A7DC3"/>
    <w:rsid w:val="000B0223"/>
    <w:rsid w:val="000B02A2"/>
    <w:rsid w:val="000B0640"/>
    <w:rsid w:val="000B0A01"/>
    <w:rsid w:val="000B0C3F"/>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040"/>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CC4"/>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1E2F"/>
    <w:rsid w:val="001523B7"/>
    <w:rsid w:val="001526E0"/>
    <w:rsid w:val="00153B76"/>
    <w:rsid w:val="00154220"/>
    <w:rsid w:val="001542C6"/>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D0"/>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4998"/>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01F"/>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1C50"/>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DE4"/>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1D3"/>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C2B"/>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589"/>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06C"/>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0D54"/>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9BD"/>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BC0"/>
    <w:rsid w:val="00496E03"/>
    <w:rsid w:val="00496FBF"/>
    <w:rsid w:val="0049704C"/>
    <w:rsid w:val="00497314"/>
    <w:rsid w:val="004974EB"/>
    <w:rsid w:val="00497C80"/>
    <w:rsid w:val="004A0373"/>
    <w:rsid w:val="004A0427"/>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09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492"/>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C98"/>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2F80"/>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2DE2"/>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553C"/>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275"/>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41A"/>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C7D76"/>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1B0"/>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037"/>
    <w:rsid w:val="00787850"/>
    <w:rsid w:val="00791A2B"/>
    <w:rsid w:val="007925EA"/>
    <w:rsid w:val="00792975"/>
    <w:rsid w:val="007929C8"/>
    <w:rsid w:val="00793339"/>
    <w:rsid w:val="00793CD8"/>
    <w:rsid w:val="00794596"/>
    <w:rsid w:val="00794C40"/>
    <w:rsid w:val="00795C92"/>
    <w:rsid w:val="00797261"/>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4B6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A7D7E"/>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23C"/>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06"/>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357"/>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2F3"/>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E29"/>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12"/>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D3D"/>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24"/>
    <w:rsid w:val="00AE4DBA"/>
    <w:rsid w:val="00AE4F07"/>
    <w:rsid w:val="00AE5783"/>
    <w:rsid w:val="00AE71F0"/>
    <w:rsid w:val="00AE7707"/>
    <w:rsid w:val="00AF1C5D"/>
    <w:rsid w:val="00AF1E22"/>
    <w:rsid w:val="00AF271A"/>
    <w:rsid w:val="00AF3219"/>
    <w:rsid w:val="00AF42D7"/>
    <w:rsid w:val="00AF474B"/>
    <w:rsid w:val="00AF4AFF"/>
    <w:rsid w:val="00AF553B"/>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7B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86"/>
    <w:rsid w:val="00B231A3"/>
    <w:rsid w:val="00B23708"/>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83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D2C"/>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2DB"/>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5EB7"/>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670"/>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B01"/>
    <w:rsid w:val="00DD126B"/>
    <w:rsid w:val="00DD1AE7"/>
    <w:rsid w:val="00DD3166"/>
    <w:rsid w:val="00DD3666"/>
    <w:rsid w:val="00DD3A6E"/>
    <w:rsid w:val="00DD6064"/>
    <w:rsid w:val="00DD67E8"/>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2C86"/>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5E9"/>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2A64"/>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286"/>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381"/>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4A0"/>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2DC6"/>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AC">
    <w:name w:val="TAC"/>
    <w:basedOn w:val="TAL"/>
    <w:link w:val="TACChar"/>
    <w:rsid w:val="00556C98"/>
    <w:pPr>
      <w:overflowPunct w:val="0"/>
      <w:autoSpaceDE w:val="0"/>
      <w:autoSpaceDN w:val="0"/>
      <w:adjustRightInd w:val="0"/>
      <w:jc w:val="center"/>
      <w:textAlignment w:val="baseline"/>
    </w:pPr>
    <w:rPr>
      <w:rFonts w:eastAsia="Times New Roman"/>
    </w:rPr>
  </w:style>
  <w:style w:type="character" w:customStyle="1" w:styleId="TACChar">
    <w:name w:val="TAC Char"/>
    <w:link w:val="TAC"/>
    <w:locked/>
    <w:rsid w:val="00556C9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8.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png"/><Relationship Id="rId53"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6B58AFD-3016-422B-BA34-35667FB9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374</TotalTime>
  <Pages>3</Pages>
  <Words>1015</Words>
  <Characters>5979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41</cp:revision>
  <cp:lastPrinted>2014-08-07T20:35:00Z</cp:lastPrinted>
  <dcterms:created xsi:type="dcterms:W3CDTF">2018-04-02T21:35:00Z</dcterms:created>
  <dcterms:modified xsi:type="dcterms:W3CDTF">2018-04-06T00:10:00Z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